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086F" w14:textId="77777777" w:rsidR="00B55139" w:rsidRPr="00200969" w:rsidRDefault="00B55139" w:rsidP="005A2309">
      <w:pPr>
        <w:spacing w:after="0"/>
        <w:jc w:val="center"/>
        <w:rPr>
          <w:rFonts w:ascii="A_Bismillah" w:eastAsia="Times New Roman" w:hAnsi="A_Bismillah" w:cstheme="majorBidi"/>
          <w:sz w:val="32"/>
          <w:szCs w:val="32"/>
          <w:lang w:val="en-US"/>
        </w:rPr>
      </w:pPr>
      <w:r w:rsidRPr="00200969">
        <w:rPr>
          <w:rFonts w:ascii="A_Bismillah" w:eastAsia="Times New Roman" w:hAnsi="A_Bismillah" w:cstheme="majorBidi"/>
          <w:sz w:val="32"/>
          <w:szCs w:val="32"/>
          <w:lang w:val="en-US"/>
        </w:rPr>
        <w:t>h</w:t>
      </w:r>
    </w:p>
    <w:p w14:paraId="7C404849" w14:textId="77777777" w:rsidR="00617A46" w:rsidRPr="00200969" w:rsidRDefault="00711211" w:rsidP="005A2309">
      <w:pPr>
        <w:spacing w:after="0"/>
        <w:rPr>
          <w:rFonts w:asciiTheme="majorBidi" w:eastAsia="Times New Roman" w:hAnsiTheme="majorBidi" w:cstheme="majorBidi"/>
          <w:lang w:val="en-US"/>
        </w:rPr>
      </w:pPr>
      <w:r w:rsidRPr="00200969">
        <w:rPr>
          <w:rFonts w:asciiTheme="majorBidi" w:hAnsiTheme="majorBidi" w:cstheme="majorBidi"/>
          <w:noProof/>
          <w:lang w:val="en-US"/>
        </w:rPr>
        <w:drawing>
          <wp:anchor distT="0" distB="0" distL="114300" distR="114300" simplePos="0" relativeHeight="251662336" behindDoc="1" locked="0" layoutInCell="1" allowOverlap="1" wp14:anchorId="1220F1BD" wp14:editId="14E69A8F">
            <wp:simplePos x="0" y="0"/>
            <wp:positionH relativeFrom="column">
              <wp:posOffset>2470785</wp:posOffset>
            </wp:positionH>
            <wp:positionV relativeFrom="paragraph">
              <wp:posOffset>69215</wp:posOffset>
            </wp:positionV>
            <wp:extent cx="758825" cy="871220"/>
            <wp:effectExtent l="0" t="0" r="0" b="5080"/>
            <wp:wrapThrough wrapText="bothSides">
              <wp:wrapPolygon edited="0">
                <wp:start x="8676" y="0"/>
                <wp:lineTo x="4338" y="1889"/>
                <wp:lineTo x="1627" y="4723"/>
                <wp:lineTo x="1627" y="8501"/>
                <wp:lineTo x="7049" y="15114"/>
                <wp:lineTo x="1627" y="15586"/>
                <wp:lineTo x="1085" y="18892"/>
                <wp:lineTo x="3254" y="21254"/>
                <wp:lineTo x="17352" y="21254"/>
                <wp:lineTo x="20064" y="18892"/>
                <wp:lineTo x="20064" y="17475"/>
                <wp:lineTo x="16810" y="15114"/>
                <wp:lineTo x="20064" y="6140"/>
                <wp:lineTo x="15726" y="1417"/>
                <wp:lineTo x="11930" y="0"/>
                <wp:lineTo x="8676" y="0"/>
              </wp:wrapPolygon>
            </wp:wrapThrough>
            <wp:docPr id="4" name="Picture 1" descr="C:\Users\ameeza.f\AppData\Local\Microsoft\Windows\Temporary Internet Files\Content.Outlook\7VG7Q0KF\transparent_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eza.f\AppData\Local\Microsoft\Windows\Temporary Internet Files\Content.Outlook\7VG7Q0KF\transparent_backgroun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825" cy="871220"/>
                    </a:xfrm>
                    <a:prstGeom prst="rect">
                      <a:avLst/>
                    </a:prstGeom>
                    <a:noFill/>
                    <a:ln w="9525">
                      <a:noFill/>
                      <a:miter lim="800000"/>
                      <a:headEnd/>
                      <a:tailEnd/>
                    </a:ln>
                  </pic:spPr>
                </pic:pic>
              </a:graphicData>
            </a:graphic>
          </wp:anchor>
        </w:drawing>
      </w:r>
    </w:p>
    <w:p w14:paraId="4922210A" w14:textId="77777777" w:rsidR="00617A46" w:rsidRPr="00200969" w:rsidRDefault="00617A46" w:rsidP="005A2309">
      <w:pPr>
        <w:spacing w:after="0"/>
        <w:rPr>
          <w:rFonts w:asciiTheme="majorBidi" w:eastAsia="Times New Roman" w:hAnsiTheme="majorBidi" w:cstheme="majorBidi"/>
          <w:lang w:val="en-US"/>
        </w:rPr>
      </w:pPr>
    </w:p>
    <w:p w14:paraId="3D5A6010" w14:textId="77777777" w:rsidR="00617A46" w:rsidRPr="00200969" w:rsidRDefault="00617A46" w:rsidP="005A2309">
      <w:pPr>
        <w:spacing w:after="0"/>
        <w:rPr>
          <w:rFonts w:asciiTheme="majorBidi" w:eastAsia="Times New Roman" w:hAnsiTheme="majorBidi" w:cstheme="majorBidi"/>
          <w:lang w:val="en-US"/>
        </w:rPr>
      </w:pPr>
    </w:p>
    <w:p w14:paraId="4F242113" w14:textId="77777777" w:rsidR="00617A46" w:rsidRPr="00200969" w:rsidRDefault="00617A46" w:rsidP="005A2309">
      <w:pPr>
        <w:spacing w:after="0"/>
        <w:rPr>
          <w:rFonts w:asciiTheme="majorBidi" w:eastAsia="Times New Roman" w:hAnsiTheme="majorBidi" w:cstheme="majorBidi"/>
          <w:lang w:val="en-US"/>
        </w:rPr>
      </w:pPr>
    </w:p>
    <w:p w14:paraId="3815B8E2" w14:textId="77777777" w:rsidR="00617A46" w:rsidRPr="00200969" w:rsidRDefault="00617A46" w:rsidP="005A2309">
      <w:pPr>
        <w:spacing w:after="0"/>
        <w:rPr>
          <w:rFonts w:asciiTheme="majorBidi" w:eastAsia="Times New Roman" w:hAnsiTheme="majorBidi" w:cstheme="majorBidi"/>
          <w:lang w:val="en-US"/>
        </w:rPr>
      </w:pPr>
    </w:p>
    <w:p w14:paraId="5AC39D01" w14:textId="77777777" w:rsidR="00040A6D" w:rsidRDefault="00040A6D" w:rsidP="005A2309">
      <w:pPr>
        <w:spacing w:after="0"/>
        <w:rPr>
          <w:rFonts w:ascii="Palatino Linotype" w:eastAsia="Times New Roman" w:hAnsi="Palatino Linotype" w:cstheme="majorBidi"/>
          <w:i/>
          <w:iCs/>
          <w:sz w:val="28"/>
          <w:szCs w:val="28"/>
          <w:lang w:val="en-US"/>
        </w:rPr>
      </w:pPr>
    </w:p>
    <w:p w14:paraId="34628DEB" w14:textId="1D6B21B5" w:rsidR="00617A46" w:rsidRPr="00321931" w:rsidRDefault="00617A46" w:rsidP="005A2309">
      <w:pPr>
        <w:spacing w:after="0"/>
        <w:rPr>
          <w:rFonts w:ascii="Palatino Linotype" w:eastAsia="Times New Roman" w:hAnsi="Palatino Linotype" w:cstheme="majorBidi"/>
          <w:i/>
          <w:iCs/>
          <w:sz w:val="28"/>
          <w:szCs w:val="28"/>
          <w:lang w:val="en-US"/>
        </w:rPr>
      </w:pPr>
      <w:r w:rsidRPr="00321931">
        <w:rPr>
          <w:rFonts w:ascii="Palatino Linotype" w:eastAsia="Times New Roman" w:hAnsi="Palatino Linotype" w:cstheme="majorBidi"/>
          <w:i/>
          <w:iCs/>
          <w:sz w:val="28"/>
          <w:szCs w:val="28"/>
          <w:lang w:val="en-US"/>
        </w:rPr>
        <w:t>Unofficial translation of the</w:t>
      </w:r>
    </w:p>
    <w:p w14:paraId="43EB45B7" w14:textId="77777777" w:rsidR="00617A46" w:rsidRPr="00321931" w:rsidRDefault="00C46DE5" w:rsidP="003C7C24">
      <w:pPr>
        <w:pBdr>
          <w:bottom w:val="single" w:sz="12" w:space="1" w:color="auto"/>
        </w:pBdr>
        <w:tabs>
          <w:tab w:val="right" w:pos="9000"/>
        </w:tabs>
        <w:spacing w:after="0"/>
        <w:rPr>
          <w:rFonts w:ascii="Palatino Linotype" w:eastAsia="Times New Roman" w:hAnsi="Palatino Linotype" w:cstheme="majorBidi"/>
          <w:b/>
          <w:bCs/>
          <w:sz w:val="36"/>
          <w:szCs w:val="36"/>
          <w:lang w:val="en-US"/>
        </w:rPr>
      </w:pPr>
      <w:r w:rsidRPr="00321931">
        <w:rPr>
          <w:rFonts w:ascii="Palatino Linotype" w:eastAsia="Times New Roman" w:hAnsi="Palatino Linotype" w:cstheme="majorBidi"/>
          <w:b/>
          <w:bCs/>
          <w:sz w:val="36"/>
          <w:szCs w:val="36"/>
          <w:lang w:val="en-US"/>
        </w:rPr>
        <w:t>TRANSFER PR</w:t>
      </w:r>
      <w:r w:rsidR="00487DDA" w:rsidRPr="00321931">
        <w:rPr>
          <w:rFonts w:ascii="Palatino Linotype" w:eastAsia="Times New Roman" w:hAnsi="Palatino Linotype" w:cstheme="majorBidi"/>
          <w:b/>
          <w:bCs/>
          <w:sz w:val="36"/>
          <w:szCs w:val="36"/>
          <w:lang w:val="en-US"/>
        </w:rPr>
        <w:t>ICING REGULATION</w:t>
      </w:r>
      <w:r w:rsidR="00617A46" w:rsidRPr="00321931">
        <w:rPr>
          <w:rFonts w:ascii="Palatino Linotype" w:eastAsia="Times New Roman" w:hAnsi="Palatino Linotype" w:cstheme="majorBidi"/>
          <w:b/>
          <w:bCs/>
          <w:sz w:val="36"/>
          <w:szCs w:val="36"/>
          <w:lang w:val="en-US"/>
        </w:rPr>
        <w:tab/>
        <w:t xml:space="preserve">      </w:t>
      </w:r>
      <w:r w:rsidRPr="00321931">
        <w:rPr>
          <w:rFonts w:ascii="Palatino Linotype" w:eastAsia="Times New Roman" w:hAnsi="Palatino Linotype" w:cstheme="majorBidi"/>
          <w:b/>
          <w:bCs/>
          <w:sz w:val="36"/>
          <w:szCs w:val="36"/>
          <w:lang w:val="en-US"/>
        </w:rPr>
        <w:t xml:space="preserve"> </w:t>
      </w:r>
      <w:r w:rsidR="00487DDA" w:rsidRPr="00321931">
        <w:rPr>
          <w:rFonts w:ascii="Palatino Linotype" w:eastAsia="Times New Roman" w:hAnsi="Palatino Linotype" w:cstheme="majorBidi"/>
          <w:b/>
          <w:bCs/>
          <w:sz w:val="36"/>
          <w:szCs w:val="36"/>
          <w:lang w:val="en-US"/>
        </w:rPr>
        <w:t xml:space="preserve"> </w:t>
      </w:r>
      <w:r w:rsidR="00D038FC" w:rsidRPr="00321931">
        <w:rPr>
          <w:rFonts w:ascii="Palatino Linotype" w:eastAsia="Times New Roman" w:hAnsi="Palatino Linotype" w:cstheme="majorBidi"/>
          <w:b/>
          <w:bCs/>
          <w:sz w:val="36"/>
          <w:szCs w:val="36"/>
          <w:lang w:val="en-US"/>
        </w:rPr>
        <w:t xml:space="preserve">    </w:t>
      </w:r>
      <w:r w:rsidR="00533809" w:rsidRPr="00321931">
        <w:rPr>
          <w:rFonts w:ascii="Palatino Linotype" w:eastAsia="Times New Roman" w:hAnsi="Palatino Linotype" w:cstheme="majorBidi"/>
          <w:b/>
          <w:bCs/>
          <w:sz w:val="36"/>
          <w:szCs w:val="36"/>
          <w:lang w:val="en-US"/>
        </w:rPr>
        <w:t>2020</w:t>
      </w:r>
      <w:r w:rsidR="00BC1B60" w:rsidRPr="00321931">
        <w:rPr>
          <w:rFonts w:ascii="Palatino Linotype" w:eastAsia="Times New Roman" w:hAnsi="Palatino Linotype" w:cstheme="majorBidi"/>
          <w:b/>
          <w:bCs/>
          <w:sz w:val="36"/>
          <w:szCs w:val="36"/>
          <w:lang w:val="en-US"/>
        </w:rPr>
        <w:t>/R-</w:t>
      </w:r>
      <w:r w:rsidR="003C7C24" w:rsidRPr="00321931">
        <w:rPr>
          <w:rFonts w:ascii="Palatino Linotype" w:eastAsia="Times New Roman" w:hAnsi="Palatino Linotype" w:cstheme="majorBidi"/>
          <w:b/>
          <w:bCs/>
          <w:sz w:val="36"/>
          <w:szCs w:val="36"/>
          <w:lang w:val="en-US"/>
        </w:rPr>
        <w:t>43</w:t>
      </w:r>
    </w:p>
    <w:p w14:paraId="33DE530D" w14:textId="77777777" w:rsidR="00617A46" w:rsidRPr="00321931" w:rsidRDefault="00617A46" w:rsidP="005A2309">
      <w:pPr>
        <w:spacing w:after="0"/>
        <w:rPr>
          <w:rFonts w:ascii="Palatino Linotype" w:eastAsia="Times New Roman" w:hAnsi="Palatino Linotype" w:cstheme="majorBidi"/>
          <w:lang w:val="en-US"/>
        </w:rPr>
      </w:pPr>
    </w:p>
    <w:p w14:paraId="685F127D" w14:textId="77777777" w:rsidR="00C857EB" w:rsidRPr="00321931" w:rsidRDefault="00C857EB" w:rsidP="005A2309">
      <w:pPr>
        <w:spacing w:after="0"/>
        <w:jc w:val="both"/>
        <w:rPr>
          <w:rFonts w:ascii="Palatino Linotype" w:eastAsia="Times New Roman" w:hAnsi="Palatino Linotype" w:cstheme="majorBidi"/>
          <w:i/>
          <w:iCs/>
          <w:sz w:val="12"/>
          <w:szCs w:val="12"/>
          <w:u w:val="single"/>
          <w:lang w:val="en-US"/>
        </w:rPr>
      </w:pPr>
    </w:p>
    <w:p w14:paraId="225524A5" w14:textId="64C95DC8" w:rsidR="00C857EB" w:rsidRPr="00040A6D" w:rsidRDefault="005D407D" w:rsidP="005D407D">
      <w:pPr>
        <w:spacing w:after="0"/>
        <w:rPr>
          <w:rFonts w:ascii="Palatino Linotype" w:hAnsi="Palatino Linotype" w:cstheme="majorBidi"/>
          <w:i/>
          <w:iCs/>
          <w:sz w:val="24"/>
          <w:szCs w:val="24"/>
        </w:rPr>
      </w:pPr>
      <w:r w:rsidRPr="00040A6D">
        <w:rPr>
          <w:rFonts w:ascii="Palatino Linotype" w:hAnsi="Palatino Linotype" w:cstheme="majorBidi"/>
          <w:i/>
          <w:iCs/>
          <w:sz w:val="24"/>
          <w:szCs w:val="24"/>
        </w:rPr>
        <w:t>This document consolidates the following:</w:t>
      </w:r>
    </w:p>
    <w:tbl>
      <w:tblPr>
        <w:tblStyle w:val="TableGrid"/>
        <w:tblW w:w="0" w:type="auto"/>
        <w:tblLook w:val="04A0" w:firstRow="1" w:lastRow="0" w:firstColumn="1" w:lastColumn="0" w:noHBand="0" w:noVBand="1"/>
      </w:tblPr>
      <w:tblGrid>
        <w:gridCol w:w="1345"/>
        <w:gridCol w:w="3060"/>
        <w:gridCol w:w="1440"/>
        <w:gridCol w:w="3172"/>
      </w:tblGrid>
      <w:tr w:rsidR="00415A84" w:rsidRPr="00321931" w14:paraId="5A34CD68" w14:textId="77777777" w:rsidTr="00DD109F">
        <w:trPr>
          <w:trHeight w:val="917"/>
        </w:trPr>
        <w:tc>
          <w:tcPr>
            <w:tcW w:w="1345" w:type="dxa"/>
            <w:shd w:val="clear" w:color="auto" w:fill="000000" w:themeFill="text1"/>
            <w:vAlign w:val="center"/>
          </w:tcPr>
          <w:p w14:paraId="2793D138" w14:textId="76012371" w:rsidR="005D407D" w:rsidRPr="00040A6D" w:rsidRDefault="005D407D" w:rsidP="00105FDD">
            <w:pPr>
              <w:jc w:val="center"/>
              <w:rPr>
                <w:rFonts w:ascii="Palatino Linotype" w:hAnsi="Palatino Linotype" w:cstheme="majorBidi"/>
                <w:i/>
                <w:iCs/>
                <w:sz w:val="20"/>
                <w:szCs w:val="20"/>
              </w:rPr>
            </w:pPr>
            <w:r w:rsidRPr="00040A6D">
              <w:rPr>
                <w:rFonts w:ascii="Palatino Linotype" w:hAnsi="Palatino Linotype" w:cstheme="majorBidi"/>
                <w:i/>
                <w:iCs/>
                <w:sz w:val="20"/>
                <w:szCs w:val="20"/>
              </w:rPr>
              <w:t xml:space="preserve">Regulation Number </w:t>
            </w:r>
          </w:p>
        </w:tc>
        <w:tc>
          <w:tcPr>
            <w:tcW w:w="3060" w:type="dxa"/>
            <w:shd w:val="clear" w:color="auto" w:fill="000000" w:themeFill="text1"/>
            <w:vAlign w:val="center"/>
          </w:tcPr>
          <w:p w14:paraId="6CCE1CB8" w14:textId="3452251C" w:rsidR="005D407D" w:rsidRPr="00040A6D" w:rsidRDefault="005D407D" w:rsidP="00105FDD">
            <w:pPr>
              <w:jc w:val="center"/>
              <w:rPr>
                <w:rFonts w:ascii="Palatino Linotype" w:hAnsi="Palatino Linotype" w:cstheme="majorBidi"/>
                <w:i/>
                <w:iCs/>
                <w:sz w:val="20"/>
                <w:szCs w:val="20"/>
              </w:rPr>
            </w:pPr>
            <w:r w:rsidRPr="00040A6D">
              <w:rPr>
                <w:rFonts w:ascii="Palatino Linotype" w:hAnsi="Palatino Linotype" w:cstheme="majorBidi"/>
                <w:i/>
                <w:iCs/>
                <w:sz w:val="20"/>
                <w:szCs w:val="20"/>
              </w:rPr>
              <w:t>Description</w:t>
            </w:r>
          </w:p>
        </w:tc>
        <w:tc>
          <w:tcPr>
            <w:tcW w:w="1440" w:type="dxa"/>
            <w:shd w:val="clear" w:color="auto" w:fill="000000" w:themeFill="text1"/>
            <w:vAlign w:val="center"/>
          </w:tcPr>
          <w:p w14:paraId="3A30B4B5" w14:textId="2FBCB871" w:rsidR="005D407D" w:rsidRPr="00040A6D" w:rsidRDefault="005D407D" w:rsidP="00105FDD">
            <w:pPr>
              <w:jc w:val="center"/>
              <w:rPr>
                <w:rFonts w:ascii="Palatino Linotype" w:hAnsi="Palatino Linotype" w:cstheme="majorBidi"/>
                <w:i/>
                <w:iCs/>
                <w:sz w:val="20"/>
                <w:szCs w:val="20"/>
              </w:rPr>
            </w:pPr>
            <w:r w:rsidRPr="00040A6D">
              <w:rPr>
                <w:rFonts w:ascii="Palatino Linotype" w:hAnsi="Palatino Linotype" w:cstheme="majorBidi"/>
                <w:i/>
                <w:iCs/>
                <w:sz w:val="20"/>
                <w:szCs w:val="20"/>
              </w:rPr>
              <w:t>Date of Issue</w:t>
            </w:r>
          </w:p>
        </w:tc>
        <w:tc>
          <w:tcPr>
            <w:tcW w:w="3172" w:type="dxa"/>
            <w:shd w:val="clear" w:color="auto" w:fill="000000" w:themeFill="text1"/>
            <w:vAlign w:val="center"/>
          </w:tcPr>
          <w:p w14:paraId="799152F3" w14:textId="6B97C850" w:rsidR="005D407D" w:rsidRPr="00040A6D" w:rsidRDefault="005D407D" w:rsidP="00105FDD">
            <w:pPr>
              <w:jc w:val="center"/>
              <w:rPr>
                <w:rFonts w:ascii="Palatino Linotype" w:hAnsi="Palatino Linotype" w:cstheme="majorBidi"/>
                <w:i/>
                <w:iCs/>
                <w:sz w:val="20"/>
                <w:szCs w:val="20"/>
              </w:rPr>
            </w:pPr>
            <w:r w:rsidRPr="00040A6D">
              <w:rPr>
                <w:rFonts w:ascii="Palatino Linotype" w:hAnsi="Palatino Linotype" w:cstheme="majorBidi"/>
                <w:i/>
                <w:iCs/>
                <w:sz w:val="20"/>
                <w:szCs w:val="20"/>
              </w:rPr>
              <w:t>Summary of Amendments</w:t>
            </w:r>
          </w:p>
        </w:tc>
      </w:tr>
      <w:tr w:rsidR="00415A84" w:rsidRPr="00321931" w14:paraId="28AEE214" w14:textId="77777777" w:rsidTr="00DD109F">
        <w:trPr>
          <w:trHeight w:val="530"/>
        </w:trPr>
        <w:tc>
          <w:tcPr>
            <w:tcW w:w="1345" w:type="dxa"/>
          </w:tcPr>
          <w:p w14:paraId="3C6984BE" w14:textId="154F6A83" w:rsidR="005D407D" w:rsidRPr="00321931" w:rsidRDefault="005D407D" w:rsidP="005D407D">
            <w:pPr>
              <w:rPr>
                <w:rFonts w:ascii="Palatino Linotype" w:hAnsi="Palatino Linotype" w:cstheme="majorBidi"/>
                <w:i/>
                <w:iCs/>
              </w:rPr>
            </w:pPr>
            <w:r w:rsidRPr="00321931">
              <w:rPr>
                <w:rFonts w:ascii="Palatino Linotype" w:hAnsi="Palatino Linotype" w:cstheme="majorBidi"/>
                <w:i/>
                <w:iCs/>
              </w:rPr>
              <w:t>2020/R-43</w:t>
            </w:r>
          </w:p>
        </w:tc>
        <w:tc>
          <w:tcPr>
            <w:tcW w:w="3060" w:type="dxa"/>
          </w:tcPr>
          <w:p w14:paraId="371652C7" w14:textId="6B9085D2" w:rsidR="005D407D" w:rsidRPr="00321931" w:rsidRDefault="005D407D" w:rsidP="005D407D">
            <w:pPr>
              <w:rPr>
                <w:rFonts w:ascii="Palatino Linotype" w:hAnsi="Palatino Linotype" w:cstheme="majorBidi"/>
                <w:i/>
                <w:iCs/>
              </w:rPr>
            </w:pPr>
            <w:r w:rsidRPr="00321931">
              <w:rPr>
                <w:rFonts w:ascii="Palatino Linotype" w:hAnsi="Palatino Linotype" w:cstheme="majorBidi"/>
                <w:i/>
                <w:iCs/>
              </w:rPr>
              <w:t>Transfer Pricing Regulation</w:t>
            </w:r>
          </w:p>
        </w:tc>
        <w:tc>
          <w:tcPr>
            <w:tcW w:w="1440" w:type="dxa"/>
          </w:tcPr>
          <w:p w14:paraId="6E726964" w14:textId="72180397" w:rsidR="005D407D" w:rsidRPr="00321931" w:rsidRDefault="000E2180" w:rsidP="005D407D">
            <w:pPr>
              <w:rPr>
                <w:rFonts w:ascii="Palatino Linotype" w:hAnsi="Palatino Linotype" w:cstheme="majorBidi"/>
                <w:i/>
                <w:iCs/>
              </w:rPr>
            </w:pPr>
            <w:r w:rsidRPr="00321931">
              <w:rPr>
                <w:rFonts w:ascii="Palatino Linotype" w:hAnsi="Palatino Linotype" w:cstheme="majorBidi"/>
                <w:i/>
                <w:iCs/>
              </w:rPr>
              <w:t>10 June 2020</w:t>
            </w:r>
          </w:p>
        </w:tc>
        <w:tc>
          <w:tcPr>
            <w:tcW w:w="3172" w:type="dxa"/>
          </w:tcPr>
          <w:p w14:paraId="36421E02" w14:textId="2DB24CC4" w:rsidR="005D407D" w:rsidRPr="00321931" w:rsidRDefault="005D407D" w:rsidP="005D407D">
            <w:pPr>
              <w:rPr>
                <w:rFonts w:ascii="Palatino Linotype" w:hAnsi="Palatino Linotype" w:cstheme="majorBidi"/>
                <w:i/>
                <w:iCs/>
              </w:rPr>
            </w:pPr>
            <w:r w:rsidRPr="00321931">
              <w:rPr>
                <w:rFonts w:ascii="Palatino Linotype" w:hAnsi="Palatino Linotype" w:cstheme="majorBidi"/>
                <w:i/>
                <w:iCs/>
              </w:rPr>
              <w:t>-</w:t>
            </w:r>
          </w:p>
        </w:tc>
      </w:tr>
      <w:tr w:rsidR="00415A84" w:rsidRPr="00321931" w14:paraId="19D645A2" w14:textId="77777777" w:rsidTr="00321931">
        <w:tc>
          <w:tcPr>
            <w:tcW w:w="1345" w:type="dxa"/>
          </w:tcPr>
          <w:p w14:paraId="300CD7CC" w14:textId="33CCE2BC" w:rsidR="005D407D" w:rsidRPr="00321931" w:rsidRDefault="00321931" w:rsidP="005D407D">
            <w:pPr>
              <w:rPr>
                <w:rFonts w:ascii="Palatino Linotype" w:hAnsi="Palatino Linotype" w:cstheme="majorBidi"/>
                <w:i/>
                <w:iCs/>
              </w:rPr>
            </w:pPr>
            <w:r w:rsidRPr="009F3B7F">
              <w:rPr>
                <w:rFonts w:ascii="Palatino Linotype" w:hAnsi="Palatino Linotype" w:cstheme="majorBidi"/>
                <w:i/>
                <w:iCs/>
                <w:highlight w:val="cyan"/>
              </w:rPr>
              <w:t>DRAFT</w:t>
            </w:r>
          </w:p>
        </w:tc>
        <w:tc>
          <w:tcPr>
            <w:tcW w:w="3060" w:type="dxa"/>
          </w:tcPr>
          <w:p w14:paraId="77BF69B9" w14:textId="0D845515" w:rsidR="005D407D" w:rsidRPr="00321931" w:rsidRDefault="005D407D" w:rsidP="005D407D">
            <w:pPr>
              <w:rPr>
                <w:rFonts w:ascii="Palatino Linotype" w:hAnsi="Palatino Linotype" w:cstheme="majorBidi"/>
                <w:i/>
                <w:iCs/>
              </w:rPr>
            </w:pPr>
            <w:r w:rsidRPr="00321931">
              <w:rPr>
                <w:rFonts w:ascii="Palatino Linotype" w:hAnsi="Palatino Linotype" w:cstheme="majorBidi"/>
                <w:i/>
                <w:iCs/>
              </w:rPr>
              <w:t>First amendment to the Transfer Pricing Regulation</w:t>
            </w:r>
          </w:p>
        </w:tc>
        <w:tc>
          <w:tcPr>
            <w:tcW w:w="1440" w:type="dxa"/>
          </w:tcPr>
          <w:p w14:paraId="0547DC64" w14:textId="73E300C6" w:rsidR="005D407D" w:rsidRPr="00321931" w:rsidRDefault="00321931" w:rsidP="005D407D">
            <w:pPr>
              <w:rPr>
                <w:rFonts w:ascii="Palatino Linotype" w:hAnsi="Palatino Linotype" w:cstheme="majorBidi"/>
                <w:i/>
                <w:iCs/>
              </w:rPr>
            </w:pPr>
            <w:r w:rsidRPr="009F3B7F">
              <w:rPr>
                <w:rFonts w:ascii="Palatino Linotype" w:hAnsi="Palatino Linotype" w:cstheme="majorBidi"/>
                <w:i/>
                <w:iCs/>
                <w:highlight w:val="cyan"/>
              </w:rPr>
              <w:t>DRAFT</w:t>
            </w:r>
          </w:p>
        </w:tc>
        <w:tc>
          <w:tcPr>
            <w:tcW w:w="3172" w:type="dxa"/>
          </w:tcPr>
          <w:p w14:paraId="0FAA18D8" w14:textId="03D45BB9" w:rsidR="005D407D" w:rsidRPr="00321931" w:rsidRDefault="005D407D" w:rsidP="00040A6D">
            <w:pPr>
              <w:pStyle w:val="ListParagraph"/>
              <w:numPr>
                <w:ilvl w:val="0"/>
                <w:numId w:val="33"/>
              </w:numPr>
              <w:ind w:left="337"/>
              <w:rPr>
                <w:rFonts w:ascii="Palatino Linotype" w:hAnsi="Palatino Linotype" w:cstheme="majorBidi"/>
                <w:i/>
                <w:iCs/>
              </w:rPr>
            </w:pPr>
            <w:r w:rsidRPr="00321931">
              <w:rPr>
                <w:rFonts w:ascii="Palatino Linotype" w:hAnsi="Palatino Linotype" w:cstheme="majorBidi"/>
                <w:i/>
                <w:iCs/>
              </w:rPr>
              <w:t>Insertion of</w:t>
            </w:r>
            <w:r w:rsidR="008567B9" w:rsidRPr="00321931">
              <w:rPr>
                <w:rFonts w:ascii="Palatino Linotype" w:hAnsi="Palatino Linotype" w:cstheme="majorBidi"/>
                <w:i/>
                <w:iCs/>
              </w:rPr>
              <w:t xml:space="preserve"> </w:t>
            </w:r>
            <w:r w:rsidRPr="00321931">
              <w:rPr>
                <w:rFonts w:ascii="Palatino Linotype" w:hAnsi="Palatino Linotype" w:cstheme="majorBidi"/>
                <w:i/>
                <w:iCs/>
              </w:rPr>
              <w:t xml:space="preserve">Chapter 2 </w:t>
            </w:r>
            <w:r w:rsidR="00321931" w:rsidRPr="00321931">
              <w:rPr>
                <w:rFonts w:ascii="Palatino Linotype" w:hAnsi="Palatino Linotype" w:cstheme="majorBidi"/>
                <w:i/>
                <w:iCs/>
              </w:rPr>
              <w:t>(</w:t>
            </w:r>
            <w:r w:rsidR="008567B9" w:rsidRPr="00321931">
              <w:rPr>
                <w:rFonts w:ascii="Palatino Linotype" w:hAnsi="Palatino Linotype" w:cstheme="majorBidi"/>
                <w:i/>
                <w:iCs/>
              </w:rPr>
              <w:t>Arm’s Length Principle and Application</w:t>
            </w:r>
            <w:r w:rsidR="00321931" w:rsidRPr="00321931">
              <w:rPr>
                <w:rFonts w:ascii="Palatino Linotype" w:hAnsi="Palatino Linotype" w:cstheme="majorBidi"/>
                <w:i/>
                <w:iCs/>
              </w:rPr>
              <w:t>)</w:t>
            </w:r>
          </w:p>
          <w:p w14:paraId="2A1CADD5" w14:textId="73E8341C" w:rsidR="008567B9" w:rsidRPr="00321931" w:rsidRDefault="008567B9" w:rsidP="008567B9">
            <w:pPr>
              <w:rPr>
                <w:rFonts w:ascii="Palatino Linotype" w:hAnsi="Palatino Linotype" w:cstheme="majorBidi"/>
                <w:i/>
                <w:iCs/>
              </w:rPr>
            </w:pPr>
          </w:p>
          <w:p w14:paraId="2E2419E6" w14:textId="299AF0EB" w:rsidR="008567B9" w:rsidRPr="00321931" w:rsidRDefault="008567B9" w:rsidP="00040A6D">
            <w:pPr>
              <w:pStyle w:val="ListParagraph"/>
              <w:numPr>
                <w:ilvl w:val="0"/>
                <w:numId w:val="33"/>
              </w:numPr>
              <w:ind w:left="337"/>
              <w:rPr>
                <w:rFonts w:ascii="Palatino Linotype" w:hAnsi="Palatino Linotype" w:cstheme="majorBidi"/>
                <w:i/>
                <w:iCs/>
              </w:rPr>
            </w:pPr>
            <w:r w:rsidRPr="00321931">
              <w:rPr>
                <w:rFonts w:ascii="Palatino Linotype" w:hAnsi="Palatino Linotype" w:cstheme="majorBidi"/>
                <w:i/>
                <w:iCs/>
              </w:rPr>
              <w:t>Revisions to Chapter 1</w:t>
            </w:r>
            <w:r w:rsidR="00321931">
              <w:rPr>
                <w:rFonts w:ascii="Palatino Linotype" w:hAnsi="Palatino Linotype" w:cstheme="majorBidi"/>
                <w:i/>
                <w:iCs/>
              </w:rPr>
              <w:t xml:space="preserve"> (</w:t>
            </w:r>
            <w:r w:rsidRPr="00321931">
              <w:rPr>
                <w:rFonts w:ascii="Palatino Linotype" w:hAnsi="Palatino Linotype" w:cstheme="majorBidi"/>
                <w:i/>
                <w:iCs/>
              </w:rPr>
              <w:t>Preliminary</w:t>
            </w:r>
            <w:r w:rsidR="00321931">
              <w:rPr>
                <w:rFonts w:ascii="Palatino Linotype" w:hAnsi="Palatino Linotype" w:cstheme="majorBidi"/>
                <w:i/>
                <w:iCs/>
              </w:rPr>
              <w:t>)</w:t>
            </w:r>
            <w:r w:rsidRPr="00321931">
              <w:rPr>
                <w:rFonts w:ascii="Palatino Linotype" w:hAnsi="Palatino Linotype" w:cstheme="majorBidi"/>
                <w:i/>
                <w:iCs/>
              </w:rPr>
              <w:t>, Chapter 3</w:t>
            </w:r>
            <w:r w:rsidR="00321931">
              <w:rPr>
                <w:rFonts w:ascii="Palatino Linotype" w:hAnsi="Palatino Linotype" w:cstheme="majorBidi"/>
                <w:i/>
                <w:iCs/>
              </w:rPr>
              <w:t xml:space="preserve"> (</w:t>
            </w:r>
            <w:r w:rsidRPr="00321931">
              <w:rPr>
                <w:rFonts w:ascii="Palatino Linotype" w:hAnsi="Palatino Linotype" w:cstheme="majorBidi"/>
                <w:i/>
                <w:iCs/>
              </w:rPr>
              <w:t>Transfer Pricing</w:t>
            </w:r>
            <w:r w:rsidR="00321931">
              <w:rPr>
                <w:rFonts w:ascii="Palatino Linotype" w:hAnsi="Palatino Linotype" w:cstheme="majorBidi"/>
                <w:i/>
                <w:iCs/>
              </w:rPr>
              <w:t xml:space="preserve"> </w:t>
            </w:r>
            <w:r w:rsidRPr="00321931">
              <w:rPr>
                <w:rFonts w:ascii="Palatino Linotype" w:hAnsi="Palatino Linotype" w:cstheme="majorBidi"/>
                <w:i/>
                <w:iCs/>
              </w:rPr>
              <w:t>Documentation</w:t>
            </w:r>
            <w:r w:rsidR="00321931">
              <w:rPr>
                <w:rFonts w:ascii="Palatino Linotype" w:hAnsi="Palatino Linotype" w:cstheme="majorBidi"/>
                <w:i/>
                <w:iCs/>
              </w:rPr>
              <w:t>)</w:t>
            </w:r>
            <w:r w:rsidRPr="00321931">
              <w:rPr>
                <w:rFonts w:ascii="Palatino Linotype" w:hAnsi="Palatino Linotype" w:cstheme="majorBidi"/>
                <w:i/>
                <w:iCs/>
              </w:rPr>
              <w:t>, Chapter 4</w:t>
            </w:r>
            <w:r w:rsidR="00321931">
              <w:rPr>
                <w:rFonts w:ascii="Palatino Linotype" w:hAnsi="Palatino Linotype" w:cstheme="majorBidi"/>
                <w:i/>
                <w:iCs/>
              </w:rPr>
              <w:t xml:space="preserve"> (</w:t>
            </w:r>
            <w:r w:rsidRPr="00321931">
              <w:rPr>
                <w:rFonts w:ascii="Palatino Linotype" w:hAnsi="Palatino Linotype" w:cstheme="majorBidi"/>
                <w:i/>
                <w:iCs/>
              </w:rPr>
              <w:t>General Provision</w:t>
            </w:r>
            <w:r w:rsidR="00321931">
              <w:rPr>
                <w:rFonts w:ascii="Palatino Linotype" w:hAnsi="Palatino Linotype" w:cstheme="majorBidi"/>
                <w:i/>
                <w:iCs/>
              </w:rPr>
              <w:t>s)</w:t>
            </w:r>
          </w:p>
          <w:p w14:paraId="30DE974F" w14:textId="54932C32" w:rsidR="005D407D" w:rsidRPr="00321931" w:rsidRDefault="005D407D" w:rsidP="005D407D">
            <w:pPr>
              <w:rPr>
                <w:rFonts w:ascii="Palatino Linotype" w:hAnsi="Palatino Linotype" w:cstheme="majorBidi"/>
                <w:i/>
                <w:iCs/>
              </w:rPr>
            </w:pPr>
          </w:p>
        </w:tc>
      </w:tr>
    </w:tbl>
    <w:p w14:paraId="1C1FA982" w14:textId="77777777" w:rsidR="005D407D" w:rsidRPr="00321931" w:rsidRDefault="005D407D" w:rsidP="005D407D">
      <w:pPr>
        <w:spacing w:after="0"/>
        <w:rPr>
          <w:rFonts w:ascii="Palatino Linotype" w:hAnsi="Palatino Linotype" w:cstheme="majorBidi"/>
          <w:i/>
          <w:iCs/>
          <w:sz w:val="28"/>
          <w:szCs w:val="28"/>
        </w:rPr>
      </w:pPr>
    </w:p>
    <w:p w14:paraId="142FB049" w14:textId="77777777" w:rsidR="005D407D" w:rsidRPr="00321931" w:rsidRDefault="005D407D" w:rsidP="00105FDD">
      <w:pPr>
        <w:spacing w:after="0"/>
        <w:rPr>
          <w:rFonts w:ascii="Palatino Linotype" w:hAnsi="Palatino Linotype" w:cstheme="majorBidi"/>
          <w:b/>
          <w:bCs/>
          <w:sz w:val="32"/>
          <w:szCs w:val="32"/>
        </w:rPr>
      </w:pPr>
    </w:p>
    <w:p w14:paraId="376BA29C" w14:textId="77777777" w:rsidR="00C857EB" w:rsidRPr="00321931" w:rsidRDefault="00C857EB" w:rsidP="005A2309">
      <w:pPr>
        <w:spacing w:after="0"/>
        <w:jc w:val="center"/>
        <w:rPr>
          <w:rFonts w:ascii="Palatino Linotype" w:hAnsi="Palatino Linotype" w:cstheme="majorBidi"/>
          <w:b/>
          <w:bCs/>
          <w:sz w:val="32"/>
          <w:szCs w:val="32"/>
        </w:rPr>
      </w:pPr>
    </w:p>
    <w:p w14:paraId="374A1E41" w14:textId="77777777" w:rsidR="00C857EB" w:rsidRPr="00321931" w:rsidRDefault="00C857EB" w:rsidP="005A2309">
      <w:pPr>
        <w:spacing w:after="0"/>
        <w:jc w:val="center"/>
        <w:rPr>
          <w:rFonts w:ascii="Palatino Linotype" w:hAnsi="Palatino Linotype" w:cstheme="majorBidi"/>
          <w:b/>
          <w:bCs/>
          <w:sz w:val="32"/>
          <w:szCs w:val="32"/>
        </w:rPr>
      </w:pPr>
    </w:p>
    <w:p w14:paraId="19A59092" w14:textId="1C0F8F6E" w:rsidR="00C857EB" w:rsidRPr="00321931" w:rsidRDefault="00C857EB" w:rsidP="005A2309">
      <w:pPr>
        <w:spacing w:after="0"/>
        <w:jc w:val="center"/>
        <w:rPr>
          <w:rFonts w:ascii="Palatino Linotype" w:hAnsi="Palatino Linotype" w:cstheme="majorBidi"/>
          <w:b/>
          <w:bCs/>
          <w:sz w:val="32"/>
          <w:szCs w:val="32"/>
        </w:rPr>
      </w:pPr>
    </w:p>
    <w:p w14:paraId="1BFE2211" w14:textId="77777777" w:rsidR="005D407D" w:rsidRPr="00321931" w:rsidRDefault="005D407D" w:rsidP="005A2309">
      <w:pPr>
        <w:spacing w:after="0"/>
        <w:jc w:val="center"/>
        <w:rPr>
          <w:rFonts w:ascii="Palatino Linotype" w:hAnsi="Palatino Linotype" w:cstheme="majorBidi"/>
          <w:b/>
          <w:bCs/>
          <w:sz w:val="32"/>
          <w:szCs w:val="32"/>
        </w:rPr>
      </w:pPr>
    </w:p>
    <w:p w14:paraId="7626FBD9" w14:textId="77777777" w:rsidR="00487DDA" w:rsidRDefault="00487DDA" w:rsidP="005A2309">
      <w:pPr>
        <w:spacing w:after="0"/>
        <w:jc w:val="both"/>
        <w:rPr>
          <w:rFonts w:ascii="Palatino Linotype" w:hAnsi="Palatino Linotype" w:cstheme="majorBidi"/>
          <w:b/>
          <w:bCs/>
          <w:sz w:val="32"/>
          <w:szCs w:val="32"/>
        </w:rPr>
      </w:pPr>
    </w:p>
    <w:p w14:paraId="44CB7BEC" w14:textId="77777777" w:rsidR="00040A6D" w:rsidRPr="00321931" w:rsidRDefault="00040A6D" w:rsidP="005A2309">
      <w:pPr>
        <w:spacing w:after="0"/>
        <w:jc w:val="both"/>
        <w:rPr>
          <w:rFonts w:ascii="Palatino Linotype" w:eastAsia="Times New Roman" w:hAnsi="Palatino Linotype" w:cstheme="majorBidi"/>
          <w:b/>
          <w:bCs/>
          <w:i/>
          <w:iCs/>
          <w:sz w:val="14"/>
          <w:szCs w:val="14"/>
          <w:u w:val="single"/>
          <w:lang w:val="en-US"/>
        </w:rPr>
      </w:pPr>
    </w:p>
    <w:p w14:paraId="5098B5E8" w14:textId="77777777" w:rsidR="00487DDA" w:rsidRPr="00321931" w:rsidRDefault="00487DDA" w:rsidP="005A2309">
      <w:pPr>
        <w:spacing w:after="0"/>
        <w:jc w:val="both"/>
        <w:rPr>
          <w:rFonts w:ascii="Palatino Linotype" w:eastAsia="Times New Roman" w:hAnsi="Palatino Linotype" w:cstheme="majorBidi"/>
          <w:b/>
          <w:bCs/>
          <w:i/>
          <w:iCs/>
          <w:sz w:val="14"/>
          <w:szCs w:val="14"/>
          <w:u w:val="single"/>
          <w:lang w:val="en-US"/>
        </w:rPr>
      </w:pPr>
    </w:p>
    <w:p w14:paraId="0D876BB6" w14:textId="77777777" w:rsidR="00487DDA" w:rsidRPr="00321931" w:rsidRDefault="00487DDA" w:rsidP="005A2309">
      <w:pPr>
        <w:spacing w:after="0"/>
        <w:jc w:val="both"/>
        <w:rPr>
          <w:rFonts w:ascii="Palatino Linotype" w:eastAsia="Times New Roman" w:hAnsi="Palatino Linotype" w:cstheme="majorBidi"/>
          <w:b/>
          <w:bCs/>
          <w:i/>
          <w:iCs/>
          <w:sz w:val="14"/>
          <w:szCs w:val="14"/>
          <w:u w:val="single"/>
          <w:lang w:val="en-US"/>
        </w:rPr>
      </w:pPr>
    </w:p>
    <w:p w14:paraId="1F3BE436" w14:textId="77777777" w:rsidR="00487DDA" w:rsidRPr="00321931" w:rsidRDefault="00487DDA" w:rsidP="005A2309">
      <w:pPr>
        <w:spacing w:after="0"/>
        <w:jc w:val="both"/>
        <w:rPr>
          <w:rFonts w:ascii="Palatino Linotype" w:eastAsia="Times New Roman" w:hAnsi="Palatino Linotype" w:cstheme="majorBidi"/>
          <w:b/>
          <w:bCs/>
          <w:i/>
          <w:iCs/>
          <w:sz w:val="14"/>
          <w:szCs w:val="14"/>
          <w:u w:val="single"/>
          <w:lang w:val="en-US"/>
        </w:rPr>
      </w:pPr>
    </w:p>
    <w:p w14:paraId="57AE9CD8" w14:textId="77777777" w:rsidR="007E1EF6" w:rsidRPr="00321931" w:rsidRDefault="007E1EF6" w:rsidP="005A2309">
      <w:pPr>
        <w:spacing w:after="0"/>
        <w:jc w:val="both"/>
        <w:rPr>
          <w:rFonts w:ascii="Palatino Linotype" w:eastAsia="Times New Roman" w:hAnsi="Palatino Linotype" w:cstheme="majorBidi"/>
          <w:b/>
          <w:bCs/>
          <w:i/>
          <w:iCs/>
          <w:sz w:val="14"/>
          <w:szCs w:val="14"/>
          <w:u w:val="single"/>
          <w:lang w:val="en-US"/>
        </w:rPr>
      </w:pPr>
      <w:r w:rsidRPr="00321931">
        <w:rPr>
          <w:rFonts w:ascii="Palatino Linotype" w:eastAsia="Times New Roman" w:hAnsi="Palatino Linotype" w:cstheme="majorBidi"/>
          <w:b/>
          <w:bCs/>
          <w:i/>
          <w:iCs/>
          <w:sz w:val="14"/>
          <w:szCs w:val="14"/>
          <w:u w:val="single"/>
          <w:lang w:val="en-US"/>
        </w:rPr>
        <w:t>DISCLAIMER OF LIABILITY</w:t>
      </w:r>
    </w:p>
    <w:p w14:paraId="60C3F145" w14:textId="77777777" w:rsidR="00487DDA" w:rsidRPr="00321931" w:rsidRDefault="007E1EF6" w:rsidP="00487DDA">
      <w:pPr>
        <w:spacing w:after="0"/>
        <w:jc w:val="both"/>
        <w:rPr>
          <w:rFonts w:ascii="Palatino Linotype" w:eastAsia="Times New Roman" w:hAnsi="Palatino Linotype" w:cstheme="majorBidi"/>
          <w:i/>
          <w:iCs/>
          <w:sz w:val="16"/>
          <w:szCs w:val="16"/>
          <w:lang w:val="en-US"/>
        </w:rPr>
      </w:pPr>
      <w:r w:rsidRPr="00321931">
        <w:rPr>
          <w:rFonts w:ascii="Palatino Linotype" w:eastAsia="Times New Roman" w:hAnsi="Palatino Linotype" w:cstheme="majorBidi"/>
          <w:i/>
          <w:iCs/>
          <w:sz w:val="16"/>
          <w:szCs w:val="16"/>
          <w:lang w:val="en-US"/>
        </w:rPr>
        <w:t>This is the unofficial translation of the original document in Dhivehi. In the event of conflict between this translation and the Dhivehi version of this document, the latter shall prevail. Therefore, it is advised that both the Dhivehi version of this document and this translation be read concurrently.</w:t>
      </w:r>
    </w:p>
    <w:p w14:paraId="580BC5FF" w14:textId="77777777" w:rsidR="00617A46" w:rsidRPr="00321931" w:rsidRDefault="00617A46" w:rsidP="005A2309">
      <w:pPr>
        <w:spacing w:after="0"/>
        <w:jc w:val="center"/>
        <w:rPr>
          <w:rFonts w:ascii="Palatino Linotype" w:hAnsi="Palatino Linotype" w:cstheme="majorBidi"/>
          <w:sz w:val="20"/>
          <w:szCs w:val="20"/>
        </w:rPr>
      </w:pPr>
      <w:r w:rsidRPr="00321931">
        <w:rPr>
          <w:rFonts w:ascii="Palatino Linotype" w:hAnsi="Palatino Linotype" w:cstheme="majorBidi"/>
          <w:b/>
          <w:bCs/>
          <w:sz w:val="32"/>
          <w:szCs w:val="32"/>
        </w:rPr>
        <w:lastRenderedPageBreak/>
        <w:t>TABLE OF CONTENTS</w:t>
      </w:r>
    </w:p>
    <w:sdt>
      <w:sdtPr>
        <w:rPr>
          <w:rFonts w:eastAsiaTheme="minorEastAsia" w:cs="Times New Roman"/>
          <w:b w:val="0"/>
          <w:bCs w:val="0"/>
          <w:noProof/>
          <w:sz w:val="22"/>
          <w:szCs w:val="22"/>
          <w:lang w:val="en-GB" w:eastAsia="en-US"/>
        </w:rPr>
        <w:id w:val="1845736129"/>
        <w:docPartObj>
          <w:docPartGallery w:val="Table of Contents"/>
          <w:docPartUnique/>
        </w:docPartObj>
      </w:sdtPr>
      <w:sdtEndPr>
        <w:rPr>
          <w:rFonts w:eastAsia="Times New Roman"/>
        </w:rPr>
      </w:sdtEndPr>
      <w:sdtContent>
        <w:p w14:paraId="56B7B0FC" w14:textId="77777777" w:rsidR="00617A46" w:rsidRPr="00321931" w:rsidRDefault="00617A46" w:rsidP="005A2309">
          <w:pPr>
            <w:pStyle w:val="TOCHeading"/>
          </w:pPr>
        </w:p>
        <w:p w14:paraId="2F73EF79" w14:textId="2356108C" w:rsidR="00DB5C9C" w:rsidRDefault="00617A46">
          <w:pPr>
            <w:pStyle w:val="TOC1"/>
            <w:rPr>
              <w:rFonts w:asciiTheme="minorHAnsi" w:hAnsiTheme="minorHAnsi"/>
              <w:kern w:val="2"/>
              <w14:ligatures w14:val="standardContextual"/>
            </w:rPr>
          </w:pPr>
          <w:r w:rsidRPr="00321931">
            <w:rPr>
              <w:rFonts w:cstheme="majorBidi"/>
            </w:rPr>
            <w:fldChar w:fldCharType="begin"/>
          </w:r>
          <w:r w:rsidRPr="00321931">
            <w:rPr>
              <w:rFonts w:cstheme="majorBidi"/>
            </w:rPr>
            <w:instrText xml:space="preserve"> TOC \o "1-3" \h \z \u </w:instrText>
          </w:r>
          <w:r w:rsidRPr="00321931">
            <w:rPr>
              <w:rFonts w:cstheme="majorBidi"/>
            </w:rPr>
            <w:fldChar w:fldCharType="separate"/>
          </w:r>
          <w:hyperlink w:anchor="_Toc136789314" w:history="1">
            <w:r w:rsidR="00DB5C9C" w:rsidRPr="0068116E">
              <w:rPr>
                <w:rStyle w:val="Hyperlink"/>
              </w:rPr>
              <w:t>CHAPTER 1: PRELIMINARY</w:t>
            </w:r>
            <w:r w:rsidR="00DB5C9C">
              <w:rPr>
                <w:webHidden/>
              </w:rPr>
              <w:tab/>
            </w:r>
            <w:r w:rsidR="00DB5C9C">
              <w:rPr>
                <w:webHidden/>
              </w:rPr>
              <w:fldChar w:fldCharType="begin"/>
            </w:r>
            <w:r w:rsidR="00DB5C9C">
              <w:rPr>
                <w:webHidden/>
              </w:rPr>
              <w:instrText xml:space="preserve"> PAGEREF _Toc136789314 \h </w:instrText>
            </w:r>
            <w:r w:rsidR="00DB5C9C">
              <w:rPr>
                <w:webHidden/>
              </w:rPr>
            </w:r>
            <w:r w:rsidR="00DB5C9C">
              <w:rPr>
                <w:webHidden/>
              </w:rPr>
              <w:fldChar w:fldCharType="separate"/>
            </w:r>
            <w:r w:rsidR="005850BC">
              <w:rPr>
                <w:webHidden/>
              </w:rPr>
              <w:t>3</w:t>
            </w:r>
            <w:r w:rsidR="00DB5C9C">
              <w:rPr>
                <w:webHidden/>
              </w:rPr>
              <w:fldChar w:fldCharType="end"/>
            </w:r>
          </w:hyperlink>
        </w:p>
        <w:p w14:paraId="0DB6B373" w14:textId="30E26004" w:rsidR="00DB5C9C" w:rsidRDefault="00DB5C9C">
          <w:pPr>
            <w:pStyle w:val="TOC2"/>
            <w:rPr>
              <w:rFonts w:asciiTheme="minorHAnsi" w:eastAsiaTheme="minorEastAsia" w:hAnsiTheme="minorHAnsi" w:cstheme="minorBidi"/>
              <w:kern w:val="2"/>
              <w:lang w:val="en-US"/>
              <w14:ligatures w14:val="standardContextual"/>
            </w:rPr>
          </w:pPr>
          <w:hyperlink w:anchor="_Toc136789315" w:history="1">
            <w:r w:rsidRPr="0068116E">
              <w:rPr>
                <w:rStyle w:val="Hyperlink"/>
                <w:rFonts w:asciiTheme="majorBidi" w:eastAsia="Calibri" w:hAnsiTheme="majorBidi"/>
              </w:rPr>
              <w:t>1.</w:t>
            </w:r>
            <w:r>
              <w:rPr>
                <w:rFonts w:asciiTheme="minorHAnsi" w:eastAsiaTheme="minorEastAsia" w:hAnsiTheme="minorHAnsi" w:cstheme="minorBidi"/>
                <w:kern w:val="2"/>
                <w:lang w:val="en-US"/>
                <w14:ligatures w14:val="standardContextual"/>
              </w:rPr>
              <w:tab/>
            </w:r>
            <w:r w:rsidRPr="0068116E">
              <w:rPr>
                <w:rStyle w:val="Hyperlink"/>
                <w:rFonts w:eastAsia="Calibri"/>
              </w:rPr>
              <w:t>Introduction and citation</w:t>
            </w:r>
            <w:r>
              <w:rPr>
                <w:webHidden/>
              </w:rPr>
              <w:tab/>
            </w:r>
            <w:r>
              <w:rPr>
                <w:webHidden/>
              </w:rPr>
              <w:fldChar w:fldCharType="begin"/>
            </w:r>
            <w:r>
              <w:rPr>
                <w:webHidden/>
              </w:rPr>
              <w:instrText xml:space="preserve"> PAGEREF _Toc136789315 \h </w:instrText>
            </w:r>
            <w:r>
              <w:rPr>
                <w:webHidden/>
              </w:rPr>
            </w:r>
            <w:r>
              <w:rPr>
                <w:webHidden/>
              </w:rPr>
              <w:fldChar w:fldCharType="separate"/>
            </w:r>
            <w:r w:rsidR="005850BC">
              <w:rPr>
                <w:webHidden/>
              </w:rPr>
              <w:t>3</w:t>
            </w:r>
            <w:r>
              <w:rPr>
                <w:webHidden/>
              </w:rPr>
              <w:fldChar w:fldCharType="end"/>
            </w:r>
          </w:hyperlink>
        </w:p>
        <w:p w14:paraId="350F08FC" w14:textId="0E9F0D75" w:rsidR="00DB5C9C" w:rsidRDefault="00DB5C9C">
          <w:pPr>
            <w:pStyle w:val="TOC2"/>
            <w:rPr>
              <w:rFonts w:asciiTheme="minorHAnsi" w:eastAsiaTheme="minorEastAsia" w:hAnsiTheme="minorHAnsi" w:cstheme="minorBidi"/>
              <w:kern w:val="2"/>
              <w:lang w:val="en-US"/>
              <w14:ligatures w14:val="standardContextual"/>
            </w:rPr>
          </w:pPr>
          <w:hyperlink w:anchor="_Toc136789316" w:history="1">
            <w:r w:rsidRPr="0068116E">
              <w:rPr>
                <w:rStyle w:val="Hyperlink"/>
                <w:rFonts w:asciiTheme="majorBidi" w:eastAsia="Calibri" w:hAnsiTheme="majorBidi"/>
              </w:rPr>
              <w:t>2.</w:t>
            </w:r>
            <w:r>
              <w:rPr>
                <w:rFonts w:asciiTheme="minorHAnsi" w:eastAsiaTheme="minorEastAsia" w:hAnsiTheme="minorHAnsi" w:cstheme="minorBidi"/>
                <w:kern w:val="2"/>
                <w:lang w:val="en-US"/>
                <w14:ligatures w14:val="standardContextual"/>
              </w:rPr>
              <w:tab/>
            </w:r>
            <w:r w:rsidRPr="0068116E">
              <w:rPr>
                <w:rStyle w:val="Hyperlink"/>
                <w:rFonts w:eastAsia="Calibri"/>
              </w:rPr>
              <w:t>Objective</w:t>
            </w:r>
            <w:r>
              <w:rPr>
                <w:webHidden/>
              </w:rPr>
              <w:tab/>
            </w:r>
            <w:r>
              <w:rPr>
                <w:webHidden/>
              </w:rPr>
              <w:fldChar w:fldCharType="begin"/>
            </w:r>
            <w:r>
              <w:rPr>
                <w:webHidden/>
              </w:rPr>
              <w:instrText xml:space="preserve"> PAGEREF _Toc136789316 \h </w:instrText>
            </w:r>
            <w:r>
              <w:rPr>
                <w:webHidden/>
              </w:rPr>
            </w:r>
            <w:r>
              <w:rPr>
                <w:webHidden/>
              </w:rPr>
              <w:fldChar w:fldCharType="separate"/>
            </w:r>
            <w:r w:rsidR="005850BC">
              <w:rPr>
                <w:webHidden/>
              </w:rPr>
              <w:t>3</w:t>
            </w:r>
            <w:r>
              <w:rPr>
                <w:webHidden/>
              </w:rPr>
              <w:fldChar w:fldCharType="end"/>
            </w:r>
          </w:hyperlink>
        </w:p>
        <w:p w14:paraId="1CD88CF5" w14:textId="0F836F2A" w:rsidR="00DB5C9C" w:rsidRDefault="00DB5C9C">
          <w:pPr>
            <w:pStyle w:val="TOC1"/>
            <w:rPr>
              <w:rFonts w:asciiTheme="minorHAnsi" w:hAnsiTheme="minorHAnsi"/>
              <w:kern w:val="2"/>
              <w14:ligatures w14:val="standardContextual"/>
            </w:rPr>
          </w:pPr>
          <w:hyperlink w:anchor="_Toc136789317" w:history="1">
            <w:r w:rsidRPr="0068116E">
              <w:rPr>
                <w:rStyle w:val="Hyperlink"/>
                <w:highlight w:val="cyan"/>
              </w:rPr>
              <w:t>CHAPTER 2: THE ARM’S LENGTH PRINCIPLE</w:t>
            </w:r>
            <w:r>
              <w:rPr>
                <w:webHidden/>
              </w:rPr>
              <w:tab/>
            </w:r>
            <w:r>
              <w:rPr>
                <w:webHidden/>
              </w:rPr>
              <w:fldChar w:fldCharType="begin"/>
            </w:r>
            <w:r>
              <w:rPr>
                <w:webHidden/>
              </w:rPr>
              <w:instrText xml:space="preserve"> PAGEREF _Toc136789317 \h </w:instrText>
            </w:r>
            <w:r>
              <w:rPr>
                <w:webHidden/>
              </w:rPr>
            </w:r>
            <w:r>
              <w:rPr>
                <w:webHidden/>
              </w:rPr>
              <w:fldChar w:fldCharType="separate"/>
            </w:r>
            <w:r w:rsidR="005850BC">
              <w:rPr>
                <w:webHidden/>
              </w:rPr>
              <w:t>3</w:t>
            </w:r>
            <w:r>
              <w:rPr>
                <w:webHidden/>
              </w:rPr>
              <w:fldChar w:fldCharType="end"/>
            </w:r>
          </w:hyperlink>
        </w:p>
        <w:p w14:paraId="3AA44B93" w14:textId="4CDC9477" w:rsidR="00DB5C9C" w:rsidRDefault="00DB5C9C">
          <w:pPr>
            <w:pStyle w:val="TOC1"/>
            <w:rPr>
              <w:rFonts w:asciiTheme="minorHAnsi" w:hAnsiTheme="minorHAnsi"/>
              <w:kern w:val="2"/>
              <w14:ligatures w14:val="standardContextual"/>
            </w:rPr>
          </w:pPr>
          <w:hyperlink w:anchor="_Toc136789318" w:history="1">
            <w:r w:rsidRPr="0068116E">
              <w:rPr>
                <w:rStyle w:val="Hyperlink"/>
                <w:highlight w:val="cyan"/>
              </w:rPr>
              <w:t>AND ITS APPLICATION</w:t>
            </w:r>
            <w:r>
              <w:rPr>
                <w:webHidden/>
              </w:rPr>
              <w:tab/>
            </w:r>
            <w:r>
              <w:rPr>
                <w:webHidden/>
              </w:rPr>
              <w:fldChar w:fldCharType="begin"/>
            </w:r>
            <w:r>
              <w:rPr>
                <w:webHidden/>
              </w:rPr>
              <w:instrText xml:space="preserve"> PAGEREF _Toc136789318 \h </w:instrText>
            </w:r>
            <w:r>
              <w:rPr>
                <w:webHidden/>
              </w:rPr>
            </w:r>
            <w:r>
              <w:rPr>
                <w:webHidden/>
              </w:rPr>
              <w:fldChar w:fldCharType="separate"/>
            </w:r>
            <w:r w:rsidR="005850BC">
              <w:rPr>
                <w:webHidden/>
              </w:rPr>
              <w:t>3</w:t>
            </w:r>
            <w:r>
              <w:rPr>
                <w:webHidden/>
              </w:rPr>
              <w:fldChar w:fldCharType="end"/>
            </w:r>
          </w:hyperlink>
        </w:p>
        <w:p w14:paraId="4BF42590" w14:textId="2358378E" w:rsidR="00DB5C9C" w:rsidRDefault="00DB5C9C">
          <w:pPr>
            <w:pStyle w:val="TOC2"/>
            <w:rPr>
              <w:rFonts w:asciiTheme="minorHAnsi" w:eastAsiaTheme="minorEastAsia" w:hAnsiTheme="minorHAnsi" w:cstheme="minorBidi"/>
              <w:kern w:val="2"/>
              <w:lang w:val="en-US"/>
              <w14:ligatures w14:val="standardContextual"/>
            </w:rPr>
          </w:pPr>
          <w:hyperlink w:anchor="_Toc136789319" w:history="1">
            <w:r w:rsidRPr="0068116E">
              <w:rPr>
                <w:rStyle w:val="Hyperlink"/>
                <w:rFonts w:asciiTheme="majorBidi" w:eastAsia="Calibri" w:hAnsiTheme="majorBidi"/>
                <w:highlight w:val="cyan"/>
              </w:rPr>
              <w:t>3.</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Arm’s Length Principle</w:t>
            </w:r>
            <w:r>
              <w:rPr>
                <w:webHidden/>
              </w:rPr>
              <w:tab/>
            </w:r>
            <w:r>
              <w:rPr>
                <w:webHidden/>
              </w:rPr>
              <w:fldChar w:fldCharType="begin"/>
            </w:r>
            <w:r>
              <w:rPr>
                <w:webHidden/>
              </w:rPr>
              <w:instrText xml:space="preserve"> PAGEREF _Toc136789319 \h </w:instrText>
            </w:r>
            <w:r>
              <w:rPr>
                <w:webHidden/>
              </w:rPr>
            </w:r>
            <w:r>
              <w:rPr>
                <w:webHidden/>
              </w:rPr>
              <w:fldChar w:fldCharType="separate"/>
            </w:r>
            <w:r w:rsidR="005850BC">
              <w:rPr>
                <w:webHidden/>
              </w:rPr>
              <w:t>3</w:t>
            </w:r>
            <w:r>
              <w:rPr>
                <w:webHidden/>
              </w:rPr>
              <w:fldChar w:fldCharType="end"/>
            </w:r>
          </w:hyperlink>
        </w:p>
        <w:p w14:paraId="7051D303" w14:textId="6F5329C5" w:rsidR="00DB5C9C" w:rsidRDefault="00DB5C9C">
          <w:pPr>
            <w:pStyle w:val="TOC2"/>
            <w:rPr>
              <w:rFonts w:asciiTheme="minorHAnsi" w:eastAsiaTheme="minorEastAsia" w:hAnsiTheme="minorHAnsi" w:cstheme="minorBidi"/>
              <w:kern w:val="2"/>
              <w:lang w:val="en-US"/>
              <w14:ligatures w14:val="standardContextual"/>
            </w:rPr>
          </w:pPr>
          <w:hyperlink w:anchor="_Toc136789320" w:history="1">
            <w:r w:rsidRPr="0068116E">
              <w:rPr>
                <w:rStyle w:val="Hyperlink"/>
                <w:rFonts w:asciiTheme="majorBidi" w:eastAsia="Calibri" w:hAnsiTheme="majorBidi"/>
                <w:highlight w:val="cyan"/>
              </w:rPr>
              <w:t>4.</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Comparability Factors</w:t>
            </w:r>
            <w:r>
              <w:rPr>
                <w:webHidden/>
              </w:rPr>
              <w:tab/>
            </w:r>
            <w:r>
              <w:rPr>
                <w:webHidden/>
              </w:rPr>
              <w:fldChar w:fldCharType="begin"/>
            </w:r>
            <w:r>
              <w:rPr>
                <w:webHidden/>
              </w:rPr>
              <w:instrText xml:space="preserve"> PAGEREF _Toc136789320 \h </w:instrText>
            </w:r>
            <w:r>
              <w:rPr>
                <w:webHidden/>
              </w:rPr>
            </w:r>
            <w:r>
              <w:rPr>
                <w:webHidden/>
              </w:rPr>
              <w:fldChar w:fldCharType="separate"/>
            </w:r>
            <w:r w:rsidR="005850BC">
              <w:rPr>
                <w:webHidden/>
              </w:rPr>
              <w:t>4</w:t>
            </w:r>
            <w:r>
              <w:rPr>
                <w:webHidden/>
              </w:rPr>
              <w:fldChar w:fldCharType="end"/>
            </w:r>
          </w:hyperlink>
        </w:p>
        <w:p w14:paraId="0E1901CB" w14:textId="2C136E86" w:rsidR="00DB5C9C" w:rsidRDefault="00DB5C9C">
          <w:pPr>
            <w:pStyle w:val="TOC2"/>
            <w:rPr>
              <w:rFonts w:asciiTheme="minorHAnsi" w:eastAsiaTheme="minorEastAsia" w:hAnsiTheme="minorHAnsi" w:cstheme="minorBidi"/>
              <w:kern w:val="2"/>
              <w:lang w:val="en-US"/>
              <w14:ligatures w14:val="standardContextual"/>
            </w:rPr>
          </w:pPr>
          <w:hyperlink w:anchor="_Toc136789321" w:history="1">
            <w:r w:rsidRPr="0068116E">
              <w:rPr>
                <w:rStyle w:val="Hyperlink"/>
                <w:rFonts w:asciiTheme="majorBidi" w:eastAsia="Calibri" w:hAnsiTheme="majorBidi"/>
                <w:highlight w:val="cyan"/>
              </w:rPr>
              <w:t>5.</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Comparability Analysis</w:t>
            </w:r>
            <w:r>
              <w:rPr>
                <w:webHidden/>
              </w:rPr>
              <w:tab/>
            </w:r>
            <w:r>
              <w:rPr>
                <w:webHidden/>
              </w:rPr>
              <w:fldChar w:fldCharType="begin"/>
            </w:r>
            <w:r>
              <w:rPr>
                <w:webHidden/>
              </w:rPr>
              <w:instrText xml:space="preserve"> PAGEREF _Toc136789321 \h </w:instrText>
            </w:r>
            <w:r>
              <w:rPr>
                <w:webHidden/>
              </w:rPr>
            </w:r>
            <w:r>
              <w:rPr>
                <w:webHidden/>
              </w:rPr>
              <w:fldChar w:fldCharType="separate"/>
            </w:r>
            <w:r w:rsidR="005850BC">
              <w:rPr>
                <w:webHidden/>
              </w:rPr>
              <w:t>5</w:t>
            </w:r>
            <w:r>
              <w:rPr>
                <w:webHidden/>
              </w:rPr>
              <w:fldChar w:fldCharType="end"/>
            </w:r>
          </w:hyperlink>
        </w:p>
        <w:p w14:paraId="70668B34" w14:textId="5DA94215" w:rsidR="00DB5C9C" w:rsidRDefault="00DB5C9C">
          <w:pPr>
            <w:pStyle w:val="TOC2"/>
            <w:rPr>
              <w:rFonts w:asciiTheme="minorHAnsi" w:eastAsiaTheme="minorEastAsia" w:hAnsiTheme="minorHAnsi" w:cstheme="minorBidi"/>
              <w:kern w:val="2"/>
              <w:lang w:val="en-US"/>
              <w14:ligatures w14:val="standardContextual"/>
            </w:rPr>
          </w:pPr>
          <w:hyperlink w:anchor="_Toc136789322" w:history="1">
            <w:r w:rsidRPr="0068116E">
              <w:rPr>
                <w:rStyle w:val="Hyperlink"/>
                <w:rFonts w:asciiTheme="majorBidi" w:eastAsia="Calibri" w:hAnsiTheme="majorBidi"/>
              </w:rPr>
              <w:t>6.</w:t>
            </w:r>
            <w:r>
              <w:rPr>
                <w:rFonts w:asciiTheme="minorHAnsi" w:eastAsiaTheme="minorEastAsia" w:hAnsiTheme="minorHAnsi" w:cstheme="minorBidi"/>
                <w:kern w:val="2"/>
                <w:lang w:val="en-US"/>
                <w14:ligatures w14:val="standardContextual"/>
              </w:rPr>
              <w:tab/>
            </w:r>
            <w:r w:rsidRPr="0068116E">
              <w:rPr>
                <w:rStyle w:val="Hyperlink"/>
                <w:rFonts w:eastAsia="Calibri"/>
              </w:rPr>
              <w:t>Transfer pricing methods</w:t>
            </w:r>
            <w:r>
              <w:rPr>
                <w:webHidden/>
              </w:rPr>
              <w:tab/>
            </w:r>
            <w:r>
              <w:rPr>
                <w:webHidden/>
              </w:rPr>
              <w:fldChar w:fldCharType="begin"/>
            </w:r>
            <w:r>
              <w:rPr>
                <w:webHidden/>
              </w:rPr>
              <w:instrText xml:space="preserve"> PAGEREF _Toc136789322 \h </w:instrText>
            </w:r>
            <w:r>
              <w:rPr>
                <w:webHidden/>
              </w:rPr>
            </w:r>
            <w:r>
              <w:rPr>
                <w:webHidden/>
              </w:rPr>
              <w:fldChar w:fldCharType="separate"/>
            </w:r>
            <w:r w:rsidR="005850BC">
              <w:rPr>
                <w:webHidden/>
              </w:rPr>
              <w:t>6</w:t>
            </w:r>
            <w:r>
              <w:rPr>
                <w:webHidden/>
              </w:rPr>
              <w:fldChar w:fldCharType="end"/>
            </w:r>
          </w:hyperlink>
        </w:p>
        <w:p w14:paraId="28F74E84" w14:textId="11697F90" w:rsidR="00DB5C9C" w:rsidRDefault="00DB5C9C">
          <w:pPr>
            <w:pStyle w:val="TOC2"/>
            <w:rPr>
              <w:rFonts w:asciiTheme="minorHAnsi" w:eastAsiaTheme="minorEastAsia" w:hAnsiTheme="minorHAnsi" w:cstheme="minorBidi"/>
              <w:kern w:val="2"/>
              <w:lang w:val="en-US"/>
              <w14:ligatures w14:val="standardContextual"/>
            </w:rPr>
          </w:pPr>
          <w:hyperlink w:anchor="_Toc136789323" w:history="1">
            <w:r w:rsidRPr="0068116E">
              <w:rPr>
                <w:rStyle w:val="Hyperlink"/>
                <w:rFonts w:asciiTheme="majorBidi" w:eastAsia="Calibri" w:hAnsiTheme="majorBidi"/>
                <w:highlight w:val="cyan"/>
              </w:rPr>
              <w:t>7.</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Selection of the most appropriate method(s)</w:t>
            </w:r>
            <w:r>
              <w:rPr>
                <w:webHidden/>
              </w:rPr>
              <w:tab/>
            </w:r>
            <w:r>
              <w:rPr>
                <w:webHidden/>
              </w:rPr>
              <w:fldChar w:fldCharType="begin"/>
            </w:r>
            <w:r>
              <w:rPr>
                <w:webHidden/>
              </w:rPr>
              <w:instrText xml:space="preserve"> PAGEREF _Toc136789323 \h </w:instrText>
            </w:r>
            <w:r>
              <w:rPr>
                <w:webHidden/>
              </w:rPr>
            </w:r>
            <w:r>
              <w:rPr>
                <w:webHidden/>
              </w:rPr>
              <w:fldChar w:fldCharType="separate"/>
            </w:r>
            <w:r w:rsidR="005850BC">
              <w:rPr>
                <w:webHidden/>
              </w:rPr>
              <w:t>7</w:t>
            </w:r>
            <w:r>
              <w:rPr>
                <w:webHidden/>
              </w:rPr>
              <w:fldChar w:fldCharType="end"/>
            </w:r>
          </w:hyperlink>
        </w:p>
        <w:p w14:paraId="328BE4E9" w14:textId="5F38FC9A" w:rsidR="00DB5C9C" w:rsidRDefault="00DB5C9C">
          <w:pPr>
            <w:pStyle w:val="TOC2"/>
            <w:rPr>
              <w:rFonts w:asciiTheme="minorHAnsi" w:eastAsiaTheme="minorEastAsia" w:hAnsiTheme="minorHAnsi" w:cstheme="minorBidi"/>
              <w:kern w:val="2"/>
              <w:lang w:val="en-US"/>
              <w14:ligatures w14:val="standardContextual"/>
            </w:rPr>
          </w:pPr>
          <w:hyperlink w:anchor="_Toc136789324" w:history="1">
            <w:r w:rsidRPr="0068116E">
              <w:rPr>
                <w:rStyle w:val="Hyperlink"/>
                <w:rFonts w:asciiTheme="majorBidi" w:eastAsia="Calibri" w:hAnsiTheme="majorBidi"/>
                <w:highlight w:val="cyan"/>
              </w:rPr>
              <w:t>8.</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Arm’s length range</w:t>
            </w:r>
            <w:r>
              <w:rPr>
                <w:webHidden/>
              </w:rPr>
              <w:tab/>
            </w:r>
            <w:r>
              <w:rPr>
                <w:webHidden/>
              </w:rPr>
              <w:fldChar w:fldCharType="begin"/>
            </w:r>
            <w:r>
              <w:rPr>
                <w:webHidden/>
              </w:rPr>
              <w:instrText xml:space="preserve"> PAGEREF _Toc136789324 \h </w:instrText>
            </w:r>
            <w:r>
              <w:rPr>
                <w:webHidden/>
              </w:rPr>
            </w:r>
            <w:r>
              <w:rPr>
                <w:webHidden/>
              </w:rPr>
              <w:fldChar w:fldCharType="separate"/>
            </w:r>
            <w:r w:rsidR="005850BC">
              <w:rPr>
                <w:webHidden/>
              </w:rPr>
              <w:t>7</w:t>
            </w:r>
            <w:r>
              <w:rPr>
                <w:webHidden/>
              </w:rPr>
              <w:fldChar w:fldCharType="end"/>
            </w:r>
          </w:hyperlink>
        </w:p>
        <w:p w14:paraId="3BD99902" w14:textId="283B0E28" w:rsidR="00DB5C9C" w:rsidRDefault="00DB5C9C">
          <w:pPr>
            <w:pStyle w:val="TOC2"/>
            <w:rPr>
              <w:rFonts w:asciiTheme="minorHAnsi" w:eastAsiaTheme="minorEastAsia" w:hAnsiTheme="minorHAnsi" w:cstheme="minorBidi"/>
              <w:kern w:val="2"/>
              <w:lang w:val="en-US"/>
              <w14:ligatures w14:val="standardContextual"/>
            </w:rPr>
          </w:pPr>
          <w:hyperlink w:anchor="_Toc136789325" w:history="1">
            <w:r w:rsidRPr="0068116E">
              <w:rPr>
                <w:rStyle w:val="Hyperlink"/>
                <w:rFonts w:asciiTheme="majorBidi" w:eastAsia="Calibri" w:hAnsiTheme="majorBidi"/>
                <w:highlight w:val="cyan"/>
              </w:rPr>
              <w:t>9.</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Corresponding adjustment</w:t>
            </w:r>
            <w:r>
              <w:rPr>
                <w:webHidden/>
              </w:rPr>
              <w:tab/>
            </w:r>
            <w:r>
              <w:rPr>
                <w:webHidden/>
              </w:rPr>
              <w:fldChar w:fldCharType="begin"/>
            </w:r>
            <w:r>
              <w:rPr>
                <w:webHidden/>
              </w:rPr>
              <w:instrText xml:space="preserve"> PAGEREF _Toc136789325 \h </w:instrText>
            </w:r>
            <w:r>
              <w:rPr>
                <w:webHidden/>
              </w:rPr>
            </w:r>
            <w:r>
              <w:rPr>
                <w:webHidden/>
              </w:rPr>
              <w:fldChar w:fldCharType="separate"/>
            </w:r>
            <w:r w:rsidR="005850BC">
              <w:rPr>
                <w:webHidden/>
              </w:rPr>
              <w:t>8</w:t>
            </w:r>
            <w:r>
              <w:rPr>
                <w:webHidden/>
              </w:rPr>
              <w:fldChar w:fldCharType="end"/>
            </w:r>
          </w:hyperlink>
        </w:p>
        <w:p w14:paraId="25CFBDD1" w14:textId="5B7BA96E" w:rsidR="00DB5C9C" w:rsidRDefault="00DB5C9C">
          <w:pPr>
            <w:pStyle w:val="TOC2"/>
            <w:rPr>
              <w:rFonts w:asciiTheme="minorHAnsi" w:eastAsiaTheme="minorEastAsia" w:hAnsiTheme="minorHAnsi" w:cstheme="minorBidi"/>
              <w:kern w:val="2"/>
              <w:lang w:val="en-US"/>
              <w14:ligatures w14:val="standardContextual"/>
            </w:rPr>
          </w:pPr>
          <w:hyperlink w:anchor="_Toc136789326" w:history="1">
            <w:r w:rsidRPr="0068116E">
              <w:rPr>
                <w:rStyle w:val="Hyperlink"/>
                <w:rFonts w:asciiTheme="majorBidi" w:eastAsia="Calibri" w:hAnsiTheme="majorBidi"/>
                <w:highlight w:val="cyan"/>
              </w:rPr>
              <w:t>10.</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Special considerations for Intra-group services</w:t>
            </w:r>
            <w:r>
              <w:rPr>
                <w:webHidden/>
              </w:rPr>
              <w:tab/>
            </w:r>
            <w:r>
              <w:rPr>
                <w:webHidden/>
              </w:rPr>
              <w:fldChar w:fldCharType="begin"/>
            </w:r>
            <w:r>
              <w:rPr>
                <w:webHidden/>
              </w:rPr>
              <w:instrText xml:space="preserve"> PAGEREF _Toc136789326 \h </w:instrText>
            </w:r>
            <w:r>
              <w:rPr>
                <w:webHidden/>
              </w:rPr>
            </w:r>
            <w:r>
              <w:rPr>
                <w:webHidden/>
              </w:rPr>
              <w:fldChar w:fldCharType="separate"/>
            </w:r>
            <w:r w:rsidR="005850BC">
              <w:rPr>
                <w:webHidden/>
              </w:rPr>
              <w:t>8</w:t>
            </w:r>
            <w:r>
              <w:rPr>
                <w:webHidden/>
              </w:rPr>
              <w:fldChar w:fldCharType="end"/>
            </w:r>
          </w:hyperlink>
        </w:p>
        <w:p w14:paraId="2DB1B778" w14:textId="05E6A0CE" w:rsidR="00DB5C9C" w:rsidRDefault="00DB5C9C">
          <w:pPr>
            <w:pStyle w:val="TOC2"/>
            <w:rPr>
              <w:rFonts w:asciiTheme="minorHAnsi" w:eastAsiaTheme="minorEastAsia" w:hAnsiTheme="minorHAnsi" w:cstheme="minorBidi"/>
              <w:kern w:val="2"/>
              <w:lang w:val="en-US"/>
              <w14:ligatures w14:val="standardContextual"/>
            </w:rPr>
          </w:pPr>
          <w:hyperlink w:anchor="_Toc136789327" w:history="1">
            <w:r w:rsidRPr="0068116E">
              <w:rPr>
                <w:rStyle w:val="Hyperlink"/>
                <w:rFonts w:asciiTheme="majorBidi" w:eastAsia="Calibri" w:hAnsiTheme="majorBidi"/>
                <w:highlight w:val="cyan"/>
              </w:rPr>
              <w:t>11.</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Special considerations for intra-group loans</w:t>
            </w:r>
            <w:r>
              <w:rPr>
                <w:webHidden/>
              </w:rPr>
              <w:tab/>
            </w:r>
            <w:r>
              <w:rPr>
                <w:webHidden/>
              </w:rPr>
              <w:fldChar w:fldCharType="begin"/>
            </w:r>
            <w:r>
              <w:rPr>
                <w:webHidden/>
              </w:rPr>
              <w:instrText xml:space="preserve"> PAGEREF _Toc136789327 \h </w:instrText>
            </w:r>
            <w:r>
              <w:rPr>
                <w:webHidden/>
              </w:rPr>
            </w:r>
            <w:r>
              <w:rPr>
                <w:webHidden/>
              </w:rPr>
              <w:fldChar w:fldCharType="separate"/>
            </w:r>
            <w:r w:rsidR="005850BC">
              <w:rPr>
                <w:webHidden/>
              </w:rPr>
              <w:t>9</w:t>
            </w:r>
            <w:r>
              <w:rPr>
                <w:webHidden/>
              </w:rPr>
              <w:fldChar w:fldCharType="end"/>
            </w:r>
          </w:hyperlink>
        </w:p>
        <w:p w14:paraId="15D84772" w14:textId="36F7C24E" w:rsidR="00DB5C9C" w:rsidRDefault="00DB5C9C">
          <w:pPr>
            <w:pStyle w:val="TOC2"/>
            <w:rPr>
              <w:rFonts w:asciiTheme="minorHAnsi" w:eastAsiaTheme="minorEastAsia" w:hAnsiTheme="minorHAnsi" w:cstheme="minorBidi"/>
              <w:kern w:val="2"/>
              <w:lang w:val="en-US"/>
              <w14:ligatures w14:val="standardContextual"/>
            </w:rPr>
          </w:pPr>
          <w:hyperlink w:anchor="_Toc136789328" w:history="1">
            <w:r w:rsidRPr="0068116E">
              <w:rPr>
                <w:rStyle w:val="Hyperlink"/>
                <w:rFonts w:asciiTheme="majorBidi" w:eastAsia="Calibri" w:hAnsiTheme="majorBidi"/>
                <w:highlight w:val="cyan"/>
              </w:rPr>
              <w:t>12.</w:t>
            </w:r>
            <w:r>
              <w:rPr>
                <w:rFonts w:asciiTheme="minorHAnsi" w:eastAsiaTheme="minorEastAsia" w:hAnsiTheme="minorHAnsi" w:cstheme="minorBidi"/>
                <w:kern w:val="2"/>
                <w:lang w:val="en-US"/>
                <w14:ligatures w14:val="standardContextual"/>
              </w:rPr>
              <w:tab/>
            </w:r>
            <w:r w:rsidRPr="0068116E">
              <w:rPr>
                <w:rStyle w:val="Hyperlink"/>
                <w:rFonts w:eastAsia="Calibri"/>
                <w:highlight w:val="cyan"/>
              </w:rPr>
              <w:t>Special considerations for Intangibles</w:t>
            </w:r>
            <w:r>
              <w:rPr>
                <w:webHidden/>
              </w:rPr>
              <w:tab/>
            </w:r>
            <w:r>
              <w:rPr>
                <w:webHidden/>
              </w:rPr>
              <w:fldChar w:fldCharType="begin"/>
            </w:r>
            <w:r>
              <w:rPr>
                <w:webHidden/>
              </w:rPr>
              <w:instrText xml:space="preserve"> PAGEREF _Toc136789328 \h </w:instrText>
            </w:r>
            <w:r>
              <w:rPr>
                <w:webHidden/>
              </w:rPr>
            </w:r>
            <w:r>
              <w:rPr>
                <w:webHidden/>
              </w:rPr>
              <w:fldChar w:fldCharType="separate"/>
            </w:r>
            <w:r w:rsidR="005850BC">
              <w:rPr>
                <w:webHidden/>
              </w:rPr>
              <w:t>10</w:t>
            </w:r>
            <w:r>
              <w:rPr>
                <w:webHidden/>
              </w:rPr>
              <w:fldChar w:fldCharType="end"/>
            </w:r>
          </w:hyperlink>
        </w:p>
        <w:p w14:paraId="25399384" w14:textId="67DF0828" w:rsidR="00DB5C9C" w:rsidRDefault="00DB5C9C">
          <w:pPr>
            <w:pStyle w:val="TOC1"/>
            <w:rPr>
              <w:rFonts w:asciiTheme="minorHAnsi" w:hAnsiTheme="minorHAnsi"/>
              <w:kern w:val="2"/>
              <w14:ligatures w14:val="standardContextual"/>
            </w:rPr>
          </w:pPr>
          <w:hyperlink w:anchor="_Toc136789329" w:history="1">
            <w:r w:rsidRPr="0068116E">
              <w:rPr>
                <w:rStyle w:val="Hyperlink"/>
              </w:rPr>
              <w:t>CHAPTER 3: TRANSFER PRICING DOCUMENTATION</w:t>
            </w:r>
            <w:r>
              <w:rPr>
                <w:webHidden/>
              </w:rPr>
              <w:tab/>
            </w:r>
            <w:r>
              <w:rPr>
                <w:webHidden/>
              </w:rPr>
              <w:fldChar w:fldCharType="begin"/>
            </w:r>
            <w:r>
              <w:rPr>
                <w:webHidden/>
              </w:rPr>
              <w:instrText xml:space="preserve"> PAGEREF _Toc136789329 \h </w:instrText>
            </w:r>
            <w:r>
              <w:rPr>
                <w:webHidden/>
              </w:rPr>
            </w:r>
            <w:r>
              <w:rPr>
                <w:webHidden/>
              </w:rPr>
              <w:fldChar w:fldCharType="separate"/>
            </w:r>
            <w:r w:rsidR="005850BC">
              <w:rPr>
                <w:webHidden/>
              </w:rPr>
              <w:t>11</w:t>
            </w:r>
            <w:r>
              <w:rPr>
                <w:webHidden/>
              </w:rPr>
              <w:fldChar w:fldCharType="end"/>
            </w:r>
          </w:hyperlink>
        </w:p>
        <w:p w14:paraId="2CDD0426" w14:textId="6E7B71FD" w:rsidR="00DB5C9C" w:rsidRDefault="00DB5C9C">
          <w:pPr>
            <w:pStyle w:val="TOC2"/>
            <w:rPr>
              <w:rFonts w:asciiTheme="minorHAnsi" w:eastAsiaTheme="minorEastAsia" w:hAnsiTheme="minorHAnsi" w:cstheme="minorBidi"/>
              <w:kern w:val="2"/>
              <w:lang w:val="en-US"/>
              <w14:ligatures w14:val="standardContextual"/>
            </w:rPr>
          </w:pPr>
          <w:hyperlink w:anchor="_Toc136789330" w:history="1">
            <w:r w:rsidRPr="0068116E">
              <w:rPr>
                <w:rStyle w:val="Hyperlink"/>
                <w:rFonts w:asciiTheme="majorBidi" w:eastAsia="Calibri" w:hAnsiTheme="majorBidi"/>
              </w:rPr>
              <w:t>13.</w:t>
            </w:r>
            <w:r>
              <w:rPr>
                <w:rFonts w:asciiTheme="minorHAnsi" w:eastAsiaTheme="minorEastAsia" w:hAnsiTheme="minorHAnsi" w:cstheme="minorBidi"/>
                <w:kern w:val="2"/>
                <w:lang w:val="en-US"/>
                <w14:ligatures w14:val="standardContextual"/>
              </w:rPr>
              <w:tab/>
            </w:r>
            <w:r w:rsidRPr="0068116E">
              <w:rPr>
                <w:rStyle w:val="Hyperlink"/>
                <w:rFonts w:eastAsia="Calibri"/>
              </w:rPr>
              <w:t>Preparation of transfer pricing documentation</w:t>
            </w:r>
            <w:r>
              <w:rPr>
                <w:webHidden/>
              </w:rPr>
              <w:tab/>
            </w:r>
            <w:r>
              <w:rPr>
                <w:webHidden/>
              </w:rPr>
              <w:fldChar w:fldCharType="begin"/>
            </w:r>
            <w:r>
              <w:rPr>
                <w:webHidden/>
              </w:rPr>
              <w:instrText xml:space="preserve"> PAGEREF _Toc136789330 \h </w:instrText>
            </w:r>
            <w:r>
              <w:rPr>
                <w:webHidden/>
              </w:rPr>
            </w:r>
            <w:r>
              <w:rPr>
                <w:webHidden/>
              </w:rPr>
              <w:fldChar w:fldCharType="separate"/>
            </w:r>
            <w:r w:rsidR="005850BC">
              <w:rPr>
                <w:webHidden/>
              </w:rPr>
              <w:t>11</w:t>
            </w:r>
            <w:r>
              <w:rPr>
                <w:webHidden/>
              </w:rPr>
              <w:fldChar w:fldCharType="end"/>
            </w:r>
          </w:hyperlink>
        </w:p>
        <w:p w14:paraId="35F4ED70" w14:textId="392C81BC" w:rsidR="00DB5C9C" w:rsidRDefault="00DB5C9C">
          <w:pPr>
            <w:pStyle w:val="TOC2"/>
            <w:rPr>
              <w:rFonts w:asciiTheme="minorHAnsi" w:eastAsiaTheme="minorEastAsia" w:hAnsiTheme="minorHAnsi" w:cstheme="minorBidi"/>
              <w:kern w:val="2"/>
              <w:lang w:val="en-US"/>
              <w14:ligatures w14:val="standardContextual"/>
            </w:rPr>
          </w:pPr>
          <w:hyperlink w:anchor="_Toc136789331" w:history="1">
            <w:r w:rsidRPr="0068116E">
              <w:rPr>
                <w:rStyle w:val="Hyperlink"/>
                <w:rFonts w:asciiTheme="majorBidi" w:eastAsia="Calibri" w:hAnsiTheme="majorBidi"/>
              </w:rPr>
              <w:t>14.</w:t>
            </w:r>
            <w:r>
              <w:rPr>
                <w:rFonts w:asciiTheme="minorHAnsi" w:eastAsiaTheme="minorEastAsia" w:hAnsiTheme="minorHAnsi" w:cstheme="minorBidi"/>
                <w:kern w:val="2"/>
                <w:lang w:val="en-US"/>
                <w14:ligatures w14:val="standardContextual"/>
              </w:rPr>
              <w:tab/>
            </w:r>
            <w:r w:rsidRPr="0068116E">
              <w:rPr>
                <w:rStyle w:val="Hyperlink"/>
                <w:rFonts w:eastAsia="Calibri"/>
              </w:rPr>
              <w:t>Qualifying past transfer pricing documentation</w:t>
            </w:r>
            <w:r>
              <w:rPr>
                <w:webHidden/>
              </w:rPr>
              <w:tab/>
            </w:r>
            <w:r>
              <w:rPr>
                <w:webHidden/>
              </w:rPr>
              <w:fldChar w:fldCharType="begin"/>
            </w:r>
            <w:r>
              <w:rPr>
                <w:webHidden/>
              </w:rPr>
              <w:instrText xml:space="preserve"> PAGEREF _Toc136789331 \h </w:instrText>
            </w:r>
            <w:r>
              <w:rPr>
                <w:webHidden/>
              </w:rPr>
            </w:r>
            <w:r>
              <w:rPr>
                <w:webHidden/>
              </w:rPr>
              <w:fldChar w:fldCharType="separate"/>
            </w:r>
            <w:r w:rsidR="005850BC">
              <w:rPr>
                <w:webHidden/>
              </w:rPr>
              <w:t>11</w:t>
            </w:r>
            <w:r>
              <w:rPr>
                <w:webHidden/>
              </w:rPr>
              <w:fldChar w:fldCharType="end"/>
            </w:r>
          </w:hyperlink>
        </w:p>
        <w:p w14:paraId="1045AE0B" w14:textId="0CE93474" w:rsidR="00DB5C9C" w:rsidRDefault="00DB5C9C">
          <w:pPr>
            <w:pStyle w:val="TOC2"/>
            <w:rPr>
              <w:rFonts w:asciiTheme="minorHAnsi" w:eastAsiaTheme="minorEastAsia" w:hAnsiTheme="minorHAnsi" w:cstheme="minorBidi"/>
              <w:kern w:val="2"/>
              <w:lang w:val="en-US"/>
              <w14:ligatures w14:val="standardContextual"/>
            </w:rPr>
          </w:pPr>
          <w:hyperlink w:anchor="_Toc136789332" w:history="1">
            <w:r w:rsidRPr="0068116E">
              <w:rPr>
                <w:rStyle w:val="Hyperlink"/>
                <w:rFonts w:asciiTheme="majorBidi" w:eastAsia="Calibri" w:hAnsiTheme="majorBidi"/>
              </w:rPr>
              <w:t>15.</w:t>
            </w:r>
            <w:r>
              <w:rPr>
                <w:rFonts w:asciiTheme="minorHAnsi" w:eastAsiaTheme="minorEastAsia" w:hAnsiTheme="minorHAnsi" w:cstheme="minorBidi"/>
                <w:kern w:val="2"/>
                <w:lang w:val="en-US"/>
                <w14:ligatures w14:val="standardContextual"/>
              </w:rPr>
              <w:tab/>
            </w:r>
            <w:r w:rsidRPr="0068116E">
              <w:rPr>
                <w:rStyle w:val="Hyperlink"/>
                <w:rFonts w:eastAsia="Calibri"/>
              </w:rPr>
              <w:t>Defining qualifying past transfer pricing documentation</w:t>
            </w:r>
            <w:r>
              <w:rPr>
                <w:webHidden/>
              </w:rPr>
              <w:tab/>
            </w:r>
            <w:r>
              <w:rPr>
                <w:webHidden/>
              </w:rPr>
              <w:fldChar w:fldCharType="begin"/>
            </w:r>
            <w:r>
              <w:rPr>
                <w:webHidden/>
              </w:rPr>
              <w:instrText xml:space="preserve"> PAGEREF _Toc136789332 \h </w:instrText>
            </w:r>
            <w:r>
              <w:rPr>
                <w:webHidden/>
              </w:rPr>
            </w:r>
            <w:r>
              <w:rPr>
                <w:webHidden/>
              </w:rPr>
              <w:fldChar w:fldCharType="separate"/>
            </w:r>
            <w:r w:rsidR="005850BC">
              <w:rPr>
                <w:webHidden/>
              </w:rPr>
              <w:t>11</w:t>
            </w:r>
            <w:r>
              <w:rPr>
                <w:webHidden/>
              </w:rPr>
              <w:fldChar w:fldCharType="end"/>
            </w:r>
          </w:hyperlink>
        </w:p>
        <w:p w14:paraId="5C3292FE" w14:textId="05C23EAE" w:rsidR="00DB5C9C" w:rsidRDefault="00DB5C9C">
          <w:pPr>
            <w:pStyle w:val="TOC2"/>
            <w:rPr>
              <w:rFonts w:asciiTheme="minorHAnsi" w:eastAsiaTheme="minorEastAsia" w:hAnsiTheme="minorHAnsi" w:cstheme="minorBidi"/>
              <w:kern w:val="2"/>
              <w:lang w:val="en-US"/>
              <w14:ligatures w14:val="standardContextual"/>
            </w:rPr>
          </w:pPr>
          <w:hyperlink w:anchor="_Toc136789333" w:history="1">
            <w:r w:rsidRPr="0068116E">
              <w:rPr>
                <w:rStyle w:val="Hyperlink"/>
                <w:rFonts w:asciiTheme="majorBidi" w:eastAsia="Calibri" w:hAnsiTheme="majorBidi"/>
              </w:rPr>
              <w:t>16.</w:t>
            </w:r>
            <w:r>
              <w:rPr>
                <w:rFonts w:asciiTheme="minorHAnsi" w:eastAsiaTheme="minorEastAsia" w:hAnsiTheme="minorHAnsi" w:cstheme="minorBidi"/>
                <w:kern w:val="2"/>
                <w:lang w:val="en-US"/>
                <w14:ligatures w14:val="standardContextual"/>
              </w:rPr>
              <w:tab/>
            </w:r>
            <w:r w:rsidRPr="0068116E">
              <w:rPr>
                <w:rStyle w:val="Hyperlink"/>
                <w:rFonts w:eastAsia="Calibri"/>
              </w:rPr>
              <w:t>Requirements of qualifying past transfer pricing documentation</w:t>
            </w:r>
            <w:r>
              <w:rPr>
                <w:webHidden/>
              </w:rPr>
              <w:tab/>
            </w:r>
            <w:r>
              <w:rPr>
                <w:webHidden/>
              </w:rPr>
              <w:fldChar w:fldCharType="begin"/>
            </w:r>
            <w:r>
              <w:rPr>
                <w:webHidden/>
              </w:rPr>
              <w:instrText xml:space="preserve"> PAGEREF _Toc136789333 \h </w:instrText>
            </w:r>
            <w:r>
              <w:rPr>
                <w:webHidden/>
              </w:rPr>
            </w:r>
            <w:r>
              <w:rPr>
                <w:webHidden/>
              </w:rPr>
              <w:fldChar w:fldCharType="separate"/>
            </w:r>
            <w:r w:rsidR="005850BC">
              <w:rPr>
                <w:webHidden/>
              </w:rPr>
              <w:t>12</w:t>
            </w:r>
            <w:r>
              <w:rPr>
                <w:webHidden/>
              </w:rPr>
              <w:fldChar w:fldCharType="end"/>
            </w:r>
          </w:hyperlink>
        </w:p>
        <w:p w14:paraId="1B3E008E" w14:textId="67BEDB0F" w:rsidR="00DB5C9C" w:rsidRDefault="00DB5C9C">
          <w:pPr>
            <w:pStyle w:val="TOC2"/>
            <w:rPr>
              <w:rFonts w:asciiTheme="minorHAnsi" w:eastAsiaTheme="minorEastAsia" w:hAnsiTheme="minorHAnsi" w:cstheme="minorBidi"/>
              <w:kern w:val="2"/>
              <w:lang w:val="en-US"/>
              <w14:ligatures w14:val="standardContextual"/>
            </w:rPr>
          </w:pPr>
          <w:hyperlink w:anchor="_Toc136789334" w:history="1">
            <w:r w:rsidRPr="0068116E">
              <w:rPr>
                <w:rStyle w:val="Hyperlink"/>
                <w:rFonts w:asciiTheme="majorBidi" w:eastAsia="Calibri" w:hAnsiTheme="majorBidi"/>
              </w:rPr>
              <w:t>17.</w:t>
            </w:r>
            <w:r>
              <w:rPr>
                <w:rFonts w:asciiTheme="minorHAnsi" w:eastAsiaTheme="minorEastAsia" w:hAnsiTheme="minorHAnsi" w:cstheme="minorBidi"/>
                <w:kern w:val="2"/>
                <w:lang w:val="en-US"/>
                <w14:ligatures w14:val="standardContextual"/>
              </w:rPr>
              <w:tab/>
            </w:r>
            <w:r w:rsidRPr="0068116E">
              <w:rPr>
                <w:rStyle w:val="Hyperlink"/>
                <w:rFonts w:eastAsia="Calibri"/>
              </w:rPr>
              <w:t>Exemptions</w:t>
            </w:r>
            <w:r>
              <w:rPr>
                <w:webHidden/>
              </w:rPr>
              <w:tab/>
            </w:r>
            <w:r>
              <w:rPr>
                <w:webHidden/>
              </w:rPr>
              <w:fldChar w:fldCharType="begin"/>
            </w:r>
            <w:r>
              <w:rPr>
                <w:webHidden/>
              </w:rPr>
              <w:instrText xml:space="preserve"> PAGEREF _Toc136789334 \h </w:instrText>
            </w:r>
            <w:r>
              <w:rPr>
                <w:webHidden/>
              </w:rPr>
            </w:r>
            <w:r>
              <w:rPr>
                <w:webHidden/>
              </w:rPr>
              <w:fldChar w:fldCharType="separate"/>
            </w:r>
            <w:r w:rsidR="005850BC">
              <w:rPr>
                <w:webHidden/>
              </w:rPr>
              <w:t>13</w:t>
            </w:r>
            <w:r>
              <w:rPr>
                <w:webHidden/>
              </w:rPr>
              <w:fldChar w:fldCharType="end"/>
            </w:r>
          </w:hyperlink>
        </w:p>
        <w:p w14:paraId="34A7F8BD" w14:textId="6FBEA5F3" w:rsidR="00DB5C9C" w:rsidRDefault="00DB5C9C">
          <w:pPr>
            <w:pStyle w:val="TOC1"/>
            <w:rPr>
              <w:rFonts w:asciiTheme="minorHAnsi" w:hAnsiTheme="minorHAnsi"/>
              <w:kern w:val="2"/>
              <w14:ligatures w14:val="standardContextual"/>
            </w:rPr>
          </w:pPr>
          <w:hyperlink w:anchor="_Toc136789335" w:history="1">
            <w:r w:rsidRPr="0068116E">
              <w:rPr>
                <w:rStyle w:val="Hyperlink"/>
              </w:rPr>
              <w:t>CHAPTER 4: GENERAL PROVISIONS</w:t>
            </w:r>
            <w:r>
              <w:rPr>
                <w:webHidden/>
              </w:rPr>
              <w:tab/>
            </w:r>
            <w:r>
              <w:rPr>
                <w:webHidden/>
              </w:rPr>
              <w:fldChar w:fldCharType="begin"/>
            </w:r>
            <w:r>
              <w:rPr>
                <w:webHidden/>
              </w:rPr>
              <w:instrText xml:space="preserve"> PAGEREF _Toc136789335 \h </w:instrText>
            </w:r>
            <w:r>
              <w:rPr>
                <w:webHidden/>
              </w:rPr>
            </w:r>
            <w:r>
              <w:rPr>
                <w:webHidden/>
              </w:rPr>
              <w:fldChar w:fldCharType="separate"/>
            </w:r>
            <w:r w:rsidR="005850BC">
              <w:rPr>
                <w:webHidden/>
              </w:rPr>
              <w:t>14</w:t>
            </w:r>
            <w:r>
              <w:rPr>
                <w:webHidden/>
              </w:rPr>
              <w:fldChar w:fldCharType="end"/>
            </w:r>
          </w:hyperlink>
        </w:p>
        <w:p w14:paraId="2AFE4A7F" w14:textId="649805BF" w:rsidR="00DB5C9C" w:rsidRDefault="00DB5C9C">
          <w:pPr>
            <w:pStyle w:val="TOC2"/>
            <w:rPr>
              <w:rFonts w:asciiTheme="minorHAnsi" w:eastAsiaTheme="minorEastAsia" w:hAnsiTheme="minorHAnsi" w:cstheme="minorBidi"/>
              <w:kern w:val="2"/>
              <w:lang w:val="en-US"/>
              <w14:ligatures w14:val="standardContextual"/>
            </w:rPr>
          </w:pPr>
          <w:hyperlink w:anchor="_Toc136789336" w:history="1">
            <w:r w:rsidRPr="0068116E">
              <w:rPr>
                <w:rStyle w:val="Hyperlink"/>
                <w:rFonts w:asciiTheme="majorBidi" w:eastAsia="Calibri" w:hAnsiTheme="majorBidi"/>
              </w:rPr>
              <w:t>18.</w:t>
            </w:r>
            <w:r>
              <w:rPr>
                <w:rFonts w:asciiTheme="minorHAnsi" w:eastAsiaTheme="minorEastAsia" w:hAnsiTheme="minorHAnsi" w:cstheme="minorBidi"/>
                <w:kern w:val="2"/>
                <w:lang w:val="en-US"/>
                <w14:ligatures w14:val="standardContextual"/>
              </w:rPr>
              <w:tab/>
            </w:r>
            <w:r w:rsidRPr="0068116E">
              <w:rPr>
                <w:rStyle w:val="Hyperlink"/>
                <w:rFonts w:eastAsia="Calibri"/>
              </w:rPr>
              <w:t>Definitions</w:t>
            </w:r>
            <w:r>
              <w:rPr>
                <w:webHidden/>
              </w:rPr>
              <w:tab/>
            </w:r>
            <w:r>
              <w:rPr>
                <w:webHidden/>
              </w:rPr>
              <w:fldChar w:fldCharType="begin"/>
            </w:r>
            <w:r>
              <w:rPr>
                <w:webHidden/>
              </w:rPr>
              <w:instrText xml:space="preserve"> PAGEREF _Toc136789336 \h </w:instrText>
            </w:r>
            <w:r>
              <w:rPr>
                <w:webHidden/>
              </w:rPr>
            </w:r>
            <w:r>
              <w:rPr>
                <w:webHidden/>
              </w:rPr>
              <w:fldChar w:fldCharType="separate"/>
            </w:r>
            <w:r w:rsidR="005850BC">
              <w:rPr>
                <w:webHidden/>
              </w:rPr>
              <w:t>14</w:t>
            </w:r>
            <w:r>
              <w:rPr>
                <w:webHidden/>
              </w:rPr>
              <w:fldChar w:fldCharType="end"/>
            </w:r>
          </w:hyperlink>
        </w:p>
        <w:p w14:paraId="787CA9D3" w14:textId="14D2D19B" w:rsidR="00DB5C9C" w:rsidRDefault="00DB5C9C">
          <w:pPr>
            <w:pStyle w:val="TOC2"/>
            <w:rPr>
              <w:rFonts w:asciiTheme="minorHAnsi" w:eastAsiaTheme="minorEastAsia" w:hAnsiTheme="minorHAnsi" w:cstheme="minorBidi"/>
              <w:kern w:val="2"/>
              <w:lang w:val="en-US"/>
              <w14:ligatures w14:val="standardContextual"/>
            </w:rPr>
          </w:pPr>
          <w:hyperlink w:anchor="_Toc136789337" w:history="1">
            <w:r w:rsidRPr="0068116E">
              <w:rPr>
                <w:rStyle w:val="Hyperlink"/>
                <w:rFonts w:asciiTheme="majorBidi" w:eastAsia="Calibri" w:hAnsiTheme="majorBidi"/>
              </w:rPr>
              <w:t>19.</w:t>
            </w:r>
            <w:r>
              <w:rPr>
                <w:rFonts w:asciiTheme="minorHAnsi" w:eastAsiaTheme="minorEastAsia" w:hAnsiTheme="minorHAnsi" w:cstheme="minorBidi"/>
                <w:kern w:val="2"/>
                <w:lang w:val="en-US"/>
                <w14:ligatures w14:val="standardContextual"/>
              </w:rPr>
              <w:tab/>
            </w:r>
            <w:r w:rsidRPr="0068116E">
              <w:rPr>
                <w:rStyle w:val="Hyperlink"/>
                <w:rFonts w:eastAsia="Calibri"/>
              </w:rPr>
              <w:t>Commencement of the Regulation</w:t>
            </w:r>
            <w:r>
              <w:rPr>
                <w:webHidden/>
              </w:rPr>
              <w:tab/>
            </w:r>
            <w:r>
              <w:rPr>
                <w:webHidden/>
              </w:rPr>
              <w:fldChar w:fldCharType="begin"/>
            </w:r>
            <w:r>
              <w:rPr>
                <w:webHidden/>
              </w:rPr>
              <w:instrText xml:space="preserve"> PAGEREF _Toc136789337 \h </w:instrText>
            </w:r>
            <w:r>
              <w:rPr>
                <w:webHidden/>
              </w:rPr>
            </w:r>
            <w:r>
              <w:rPr>
                <w:webHidden/>
              </w:rPr>
              <w:fldChar w:fldCharType="separate"/>
            </w:r>
            <w:r w:rsidR="005850BC">
              <w:rPr>
                <w:webHidden/>
              </w:rPr>
              <w:t>15</w:t>
            </w:r>
            <w:r>
              <w:rPr>
                <w:webHidden/>
              </w:rPr>
              <w:fldChar w:fldCharType="end"/>
            </w:r>
          </w:hyperlink>
        </w:p>
        <w:p w14:paraId="618BECA0" w14:textId="39BD5CBE" w:rsidR="00DB5C9C" w:rsidRDefault="00DB5C9C">
          <w:pPr>
            <w:pStyle w:val="TOC1"/>
            <w:rPr>
              <w:rFonts w:asciiTheme="minorHAnsi" w:hAnsiTheme="minorHAnsi"/>
              <w:kern w:val="2"/>
              <w14:ligatures w14:val="standardContextual"/>
            </w:rPr>
          </w:pPr>
          <w:hyperlink w:anchor="_Toc136789338" w:history="1">
            <w:r w:rsidRPr="0068116E">
              <w:rPr>
                <w:rStyle w:val="Hyperlink"/>
              </w:rPr>
              <w:t xml:space="preserve">Schedule 1: </w:t>
            </w:r>
            <w:r w:rsidRPr="0068116E">
              <w:rPr>
                <w:rStyle w:val="Hyperlink"/>
                <w:highlight w:val="cyan"/>
              </w:rPr>
              <w:t>Low value adding intra-group services</w:t>
            </w:r>
            <w:r>
              <w:rPr>
                <w:webHidden/>
              </w:rPr>
              <w:tab/>
            </w:r>
            <w:r>
              <w:rPr>
                <w:webHidden/>
              </w:rPr>
              <w:fldChar w:fldCharType="begin"/>
            </w:r>
            <w:r>
              <w:rPr>
                <w:webHidden/>
              </w:rPr>
              <w:instrText xml:space="preserve"> PAGEREF _Toc136789338 \h </w:instrText>
            </w:r>
            <w:r>
              <w:rPr>
                <w:webHidden/>
              </w:rPr>
            </w:r>
            <w:r>
              <w:rPr>
                <w:webHidden/>
              </w:rPr>
              <w:fldChar w:fldCharType="separate"/>
            </w:r>
            <w:r w:rsidR="005850BC">
              <w:rPr>
                <w:webHidden/>
              </w:rPr>
              <w:t>16</w:t>
            </w:r>
            <w:r>
              <w:rPr>
                <w:webHidden/>
              </w:rPr>
              <w:fldChar w:fldCharType="end"/>
            </w:r>
          </w:hyperlink>
        </w:p>
        <w:p w14:paraId="5001A265" w14:textId="623AF2DA" w:rsidR="00DB5C9C" w:rsidRDefault="00DB5C9C">
          <w:pPr>
            <w:pStyle w:val="TOC1"/>
            <w:rPr>
              <w:rFonts w:asciiTheme="minorHAnsi" w:hAnsiTheme="minorHAnsi"/>
              <w:kern w:val="2"/>
              <w14:ligatures w14:val="standardContextual"/>
            </w:rPr>
          </w:pPr>
          <w:hyperlink w:anchor="_Toc136789339" w:history="1">
            <w:r w:rsidRPr="0068116E">
              <w:rPr>
                <w:rStyle w:val="Hyperlink"/>
              </w:rPr>
              <w:t>Schedule 2: Information to be included in the Transfer Pricing Documentation</w:t>
            </w:r>
            <w:r>
              <w:rPr>
                <w:webHidden/>
              </w:rPr>
              <w:tab/>
            </w:r>
            <w:r>
              <w:rPr>
                <w:webHidden/>
              </w:rPr>
              <w:fldChar w:fldCharType="begin"/>
            </w:r>
            <w:r>
              <w:rPr>
                <w:webHidden/>
              </w:rPr>
              <w:instrText xml:space="preserve"> PAGEREF _Toc136789339 \h </w:instrText>
            </w:r>
            <w:r>
              <w:rPr>
                <w:webHidden/>
              </w:rPr>
            </w:r>
            <w:r>
              <w:rPr>
                <w:webHidden/>
              </w:rPr>
              <w:fldChar w:fldCharType="separate"/>
            </w:r>
            <w:r w:rsidR="005850BC">
              <w:rPr>
                <w:webHidden/>
              </w:rPr>
              <w:t>18</w:t>
            </w:r>
            <w:r>
              <w:rPr>
                <w:webHidden/>
              </w:rPr>
              <w:fldChar w:fldCharType="end"/>
            </w:r>
          </w:hyperlink>
        </w:p>
        <w:p w14:paraId="04461BBA" w14:textId="69BFE896" w:rsidR="00FD545F" w:rsidRPr="00321931" w:rsidRDefault="00617A46" w:rsidP="008F4F11">
          <w:pPr>
            <w:pStyle w:val="TOC2"/>
          </w:pPr>
          <w:r w:rsidRPr="00321931">
            <w:fldChar w:fldCharType="end"/>
          </w:r>
        </w:p>
      </w:sdtContent>
    </w:sdt>
    <w:p w14:paraId="10A25310" w14:textId="77777777" w:rsidR="000710AD" w:rsidRPr="00321931" w:rsidRDefault="000710AD" w:rsidP="005A2309">
      <w:pPr>
        <w:spacing w:after="0"/>
        <w:jc w:val="center"/>
        <w:rPr>
          <w:rFonts w:ascii="Palatino Linotype" w:hAnsi="Palatino Linotype" w:cstheme="majorBidi"/>
          <w:b/>
          <w:bCs/>
          <w:sz w:val="32"/>
          <w:szCs w:val="32"/>
        </w:rPr>
      </w:pPr>
    </w:p>
    <w:p w14:paraId="3E5951E6" w14:textId="77777777" w:rsidR="000710AD" w:rsidRPr="00321931" w:rsidRDefault="000710AD" w:rsidP="005A2309">
      <w:pPr>
        <w:spacing w:after="0"/>
        <w:jc w:val="center"/>
        <w:rPr>
          <w:rFonts w:ascii="Palatino Linotype" w:hAnsi="Palatino Linotype" w:cstheme="majorBidi"/>
          <w:b/>
          <w:bCs/>
          <w:sz w:val="32"/>
          <w:szCs w:val="32"/>
        </w:rPr>
      </w:pPr>
    </w:p>
    <w:p w14:paraId="03A7AA2B" w14:textId="77777777" w:rsidR="000710AD" w:rsidRPr="00321931" w:rsidRDefault="000710AD" w:rsidP="005A2309">
      <w:pPr>
        <w:spacing w:after="0"/>
        <w:jc w:val="center"/>
        <w:rPr>
          <w:rFonts w:ascii="Palatino Linotype" w:hAnsi="Palatino Linotype" w:cstheme="majorBidi"/>
          <w:b/>
          <w:bCs/>
          <w:sz w:val="32"/>
          <w:szCs w:val="32"/>
        </w:rPr>
      </w:pPr>
    </w:p>
    <w:p w14:paraId="5237DD48" w14:textId="77777777" w:rsidR="000710AD" w:rsidRPr="00321931" w:rsidRDefault="000710AD" w:rsidP="005A2309">
      <w:pPr>
        <w:spacing w:after="0"/>
        <w:jc w:val="center"/>
        <w:rPr>
          <w:rFonts w:ascii="Palatino Linotype" w:hAnsi="Palatino Linotype" w:cstheme="majorBidi"/>
          <w:b/>
          <w:bCs/>
          <w:sz w:val="32"/>
          <w:szCs w:val="32"/>
        </w:rPr>
      </w:pPr>
    </w:p>
    <w:p w14:paraId="3208D5DD" w14:textId="77777777" w:rsidR="00617A46" w:rsidRDefault="00487DDA" w:rsidP="005A2309">
      <w:pPr>
        <w:spacing w:after="0"/>
        <w:jc w:val="center"/>
        <w:rPr>
          <w:rFonts w:ascii="Palatino Linotype" w:hAnsi="Palatino Linotype" w:cstheme="majorBidi"/>
          <w:b/>
          <w:bCs/>
          <w:sz w:val="32"/>
          <w:szCs w:val="32"/>
        </w:rPr>
      </w:pPr>
      <w:r w:rsidRPr="00321931">
        <w:rPr>
          <w:rFonts w:ascii="Palatino Linotype" w:hAnsi="Palatino Linotype" w:cstheme="majorBidi"/>
          <w:b/>
          <w:bCs/>
          <w:sz w:val="32"/>
          <w:szCs w:val="32"/>
        </w:rPr>
        <w:t>TRANSFER PRICING REGULATION</w:t>
      </w:r>
    </w:p>
    <w:p w14:paraId="257EB7C2" w14:textId="77777777" w:rsidR="00763D08" w:rsidRPr="00321931" w:rsidRDefault="00763D08" w:rsidP="005A2309">
      <w:pPr>
        <w:spacing w:after="0"/>
        <w:jc w:val="center"/>
        <w:rPr>
          <w:rFonts w:ascii="Palatino Linotype" w:hAnsi="Palatino Linotype" w:cstheme="majorBidi"/>
          <w:b/>
          <w:bCs/>
          <w:sz w:val="32"/>
          <w:szCs w:val="32"/>
        </w:rPr>
      </w:pPr>
    </w:p>
    <w:p w14:paraId="1801523C" w14:textId="77777777" w:rsidR="00617A46" w:rsidRPr="00321931" w:rsidRDefault="00617A46" w:rsidP="005A2309">
      <w:pPr>
        <w:spacing w:after="0"/>
        <w:rPr>
          <w:rFonts w:ascii="Palatino Linotype" w:hAnsi="Palatino Linotype" w:cstheme="majorBidi"/>
        </w:rPr>
      </w:pPr>
    </w:p>
    <w:p w14:paraId="75CCF2E1" w14:textId="1548DFE6" w:rsidR="00E31647" w:rsidRDefault="00E31647" w:rsidP="00964C3C">
      <w:pPr>
        <w:pStyle w:val="Heading1"/>
        <w:rPr>
          <w:sz w:val="24"/>
          <w:szCs w:val="24"/>
        </w:rPr>
      </w:pPr>
      <w:bookmarkStart w:id="0" w:name="_Toc320785068"/>
      <w:bookmarkStart w:id="1" w:name="_Toc321406690"/>
      <w:bookmarkStart w:id="2" w:name="_Toc136789314"/>
      <w:r w:rsidRPr="00321931">
        <w:rPr>
          <w:sz w:val="24"/>
          <w:szCs w:val="24"/>
        </w:rPr>
        <w:t>CHAPTER 1</w:t>
      </w:r>
      <w:r w:rsidR="000F3497">
        <w:rPr>
          <w:sz w:val="24"/>
          <w:szCs w:val="24"/>
        </w:rPr>
        <w:t xml:space="preserve">: </w:t>
      </w:r>
      <w:r w:rsidRPr="00321931">
        <w:rPr>
          <w:sz w:val="24"/>
          <w:szCs w:val="24"/>
        </w:rPr>
        <w:t>PRELIMINARY</w:t>
      </w:r>
      <w:bookmarkEnd w:id="2"/>
    </w:p>
    <w:p w14:paraId="73B04D7B" w14:textId="77777777" w:rsidR="000F3497" w:rsidRPr="000F3497" w:rsidRDefault="000F3497" w:rsidP="000F3497">
      <w:pPr>
        <w:rPr>
          <w:lang w:val="en-GB"/>
        </w:rPr>
      </w:pPr>
    </w:p>
    <w:p w14:paraId="2B42190F" w14:textId="1FC8CF7F" w:rsidR="00617A46" w:rsidRPr="00321931" w:rsidRDefault="00617A46" w:rsidP="005A2309">
      <w:pPr>
        <w:pStyle w:val="Heading2"/>
        <w:numPr>
          <w:ilvl w:val="0"/>
          <w:numId w:val="1"/>
        </w:numPr>
        <w:spacing w:before="0" w:after="120"/>
        <w:ind w:left="720" w:hanging="720"/>
        <w:rPr>
          <w:rFonts w:ascii="Palatino Linotype" w:hAnsi="Palatino Linotype"/>
          <w:color w:val="auto"/>
          <w:sz w:val="22"/>
          <w:szCs w:val="22"/>
          <w:lang w:val="en-GB"/>
        </w:rPr>
      </w:pPr>
      <w:bookmarkStart w:id="3" w:name="_Toc136789315"/>
      <w:r w:rsidRPr="00321931">
        <w:rPr>
          <w:rFonts w:ascii="Palatino Linotype" w:hAnsi="Palatino Linotype"/>
          <w:color w:val="auto"/>
          <w:sz w:val="22"/>
          <w:szCs w:val="22"/>
          <w:lang w:val="en-GB"/>
        </w:rPr>
        <w:t>Introduction</w:t>
      </w:r>
      <w:bookmarkEnd w:id="0"/>
      <w:r w:rsidRPr="00321931">
        <w:rPr>
          <w:rFonts w:ascii="Palatino Linotype" w:hAnsi="Palatino Linotype"/>
          <w:color w:val="auto"/>
          <w:sz w:val="22"/>
          <w:szCs w:val="22"/>
          <w:lang w:val="en-GB"/>
        </w:rPr>
        <w:t xml:space="preserve"> and citation</w:t>
      </w:r>
      <w:bookmarkEnd w:id="1"/>
      <w:bookmarkEnd w:id="3"/>
    </w:p>
    <w:p w14:paraId="21C82693" w14:textId="77777777" w:rsidR="00617A46" w:rsidRPr="00321931" w:rsidRDefault="00E86E6E" w:rsidP="005A2309">
      <w:pPr>
        <w:pStyle w:val="ListParagraph"/>
        <w:numPr>
          <w:ilvl w:val="0"/>
          <w:numId w:val="2"/>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This Regulation is</w:t>
      </w:r>
      <w:r w:rsidR="0078559D" w:rsidRPr="00321931">
        <w:rPr>
          <w:rFonts w:ascii="Palatino Linotype" w:eastAsiaTheme="minorEastAsia" w:hAnsi="Palatino Linotype" w:cstheme="majorBidi"/>
          <w:lang w:val="en-US"/>
        </w:rPr>
        <w:t xml:space="preserve"> made pursuant to the authority granted to the </w:t>
      </w:r>
      <w:r w:rsidR="00EC36FF" w:rsidRPr="00321931">
        <w:rPr>
          <w:rFonts w:ascii="Palatino Linotype" w:eastAsiaTheme="minorEastAsia" w:hAnsi="Palatino Linotype" w:cstheme="majorBidi"/>
          <w:lang w:val="en-US"/>
        </w:rPr>
        <w:t xml:space="preserve">Board of the </w:t>
      </w:r>
      <w:r w:rsidR="0078559D" w:rsidRPr="00321931">
        <w:rPr>
          <w:rFonts w:ascii="Palatino Linotype" w:eastAsiaTheme="minorEastAsia" w:hAnsi="Palatino Linotype" w:cstheme="majorBidi"/>
          <w:lang w:val="en-US"/>
        </w:rPr>
        <w:t>Maldives Inland Revenue Authority by</w:t>
      </w:r>
      <w:r w:rsidRPr="00321931">
        <w:rPr>
          <w:rFonts w:ascii="Palatino Linotype" w:eastAsiaTheme="minorEastAsia" w:hAnsi="Palatino Linotype" w:cstheme="majorBidi"/>
          <w:lang w:val="en-US"/>
        </w:rPr>
        <w:t xml:space="preserve"> </w:t>
      </w:r>
      <w:r w:rsidR="00EC36FF" w:rsidRPr="00321931">
        <w:rPr>
          <w:rFonts w:ascii="Palatino Linotype" w:eastAsiaTheme="minorEastAsia" w:hAnsi="Palatino Linotype" w:cstheme="majorBidi"/>
          <w:lang w:val="en-US"/>
        </w:rPr>
        <w:t xml:space="preserve">Section 68(b)(4) and </w:t>
      </w:r>
      <w:r w:rsidRPr="00321931">
        <w:rPr>
          <w:rFonts w:ascii="Palatino Linotype" w:eastAsiaTheme="minorEastAsia" w:hAnsi="Palatino Linotype" w:cstheme="majorBidi"/>
          <w:lang w:val="en-US"/>
        </w:rPr>
        <w:t>Section 76(b) of</w:t>
      </w:r>
      <w:r w:rsidR="0078559D" w:rsidRPr="00321931">
        <w:rPr>
          <w:rFonts w:ascii="Palatino Linotype" w:eastAsiaTheme="minorEastAsia" w:hAnsi="Palatino Linotype" w:cstheme="majorBidi"/>
          <w:lang w:val="en-US"/>
        </w:rPr>
        <w:t xml:space="preserve"> the </w:t>
      </w:r>
      <w:r w:rsidR="0051127E" w:rsidRPr="00321931">
        <w:rPr>
          <w:rFonts w:ascii="Palatino Linotype" w:eastAsiaTheme="minorEastAsia" w:hAnsi="Palatino Linotype" w:cstheme="majorBidi"/>
          <w:lang w:val="en-US"/>
        </w:rPr>
        <w:t xml:space="preserve">Income </w:t>
      </w:r>
      <w:r w:rsidR="0078559D" w:rsidRPr="00321931">
        <w:rPr>
          <w:rFonts w:ascii="Palatino Linotype" w:eastAsiaTheme="minorEastAsia" w:hAnsi="Palatino Linotype" w:cstheme="majorBidi"/>
          <w:lang w:val="en-US"/>
        </w:rPr>
        <w:t>Tax Act (</w:t>
      </w:r>
      <w:r w:rsidR="006E0D74" w:rsidRPr="00321931">
        <w:rPr>
          <w:rFonts w:ascii="Palatino Linotype" w:eastAsiaTheme="minorEastAsia" w:hAnsi="Palatino Linotype" w:cstheme="majorBidi"/>
          <w:lang w:val="en-US"/>
        </w:rPr>
        <w:t>Law</w:t>
      </w:r>
      <w:r w:rsidR="0078559D" w:rsidRPr="00321931">
        <w:rPr>
          <w:rFonts w:ascii="Palatino Linotype" w:eastAsiaTheme="minorEastAsia" w:hAnsi="Palatino Linotype" w:cstheme="majorBidi"/>
          <w:lang w:val="en-US"/>
        </w:rPr>
        <w:t xml:space="preserve"> Number </w:t>
      </w:r>
      <w:r w:rsidR="0051127E" w:rsidRPr="00321931">
        <w:rPr>
          <w:rFonts w:ascii="Palatino Linotype" w:eastAsiaTheme="minorEastAsia" w:hAnsi="Palatino Linotype" w:cstheme="majorBidi"/>
          <w:lang w:val="en-US"/>
        </w:rPr>
        <w:t>25/2019</w:t>
      </w:r>
      <w:r w:rsidR="0078559D" w:rsidRPr="00321931">
        <w:rPr>
          <w:rFonts w:ascii="Palatino Linotype" w:eastAsiaTheme="minorEastAsia" w:hAnsi="Palatino Linotype" w:cstheme="majorBidi"/>
          <w:lang w:val="en-US"/>
        </w:rPr>
        <w:t>).</w:t>
      </w:r>
    </w:p>
    <w:p w14:paraId="167C8BE1" w14:textId="77777777" w:rsidR="0078559D" w:rsidRPr="00321931" w:rsidRDefault="0078559D" w:rsidP="00EC36FF">
      <w:pPr>
        <w:pStyle w:val="ListParagraph"/>
        <w:numPr>
          <w:ilvl w:val="0"/>
          <w:numId w:val="2"/>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This Regulation shall be cited as the “</w:t>
      </w:r>
      <w:r w:rsidR="00EC36FF" w:rsidRPr="00321931">
        <w:rPr>
          <w:rFonts w:ascii="Palatino Linotype" w:eastAsiaTheme="minorEastAsia" w:hAnsi="Palatino Linotype" w:cstheme="majorBidi"/>
          <w:lang w:val="en-US"/>
        </w:rPr>
        <w:t>Transfer Pricing Regulation</w:t>
      </w:r>
      <w:r w:rsidRPr="00321931">
        <w:rPr>
          <w:rFonts w:ascii="Palatino Linotype" w:eastAsiaTheme="minorEastAsia" w:hAnsi="Palatino Linotype" w:cstheme="majorBidi"/>
          <w:lang w:val="en-US"/>
        </w:rPr>
        <w:t>”.</w:t>
      </w:r>
    </w:p>
    <w:p w14:paraId="430EEC3D" w14:textId="77777777" w:rsidR="00EF77FF" w:rsidRPr="00321931" w:rsidRDefault="00EF77FF" w:rsidP="005A2309">
      <w:pPr>
        <w:spacing w:after="0"/>
        <w:rPr>
          <w:rFonts w:ascii="Palatino Linotype" w:hAnsi="Palatino Linotype" w:cstheme="majorBidi"/>
        </w:rPr>
      </w:pPr>
    </w:p>
    <w:p w14:paraId="2E89AE29" w14:textId="77777777" w:rsidR="00EF77FF" w:rsidRPr="00321931" w:rsidRDefault="00EF77FF" w:rsidP="005A2309">
      <w:pPr>
        <w:pStyle w:val="Heading2"/>
        <w:numPr>
          <w:ilvl w:val="0"/>
          <w:numId w:val="1"/>
        </w:numPr>
        <w:spacing w:before="0" w:after="120"/>
        <w:ind w:left="720" w:hanging="720"/>
        <w:rPr>
          <w:rFonts w:ascii="Palatino Linotype" w:hAnsi="Palatino Linotype"/>
          <w:color w:val="auto"/>
          <w:sz w:val="22"/>
          <w:szCs w:val="22"/>
          <w:lang w:val="en-GB"/>
        </w:rPr>
      </w:pPr>
      <w:bookmarkStart w:id="4" w:name="_Toc136789316"/>
      <w:r w:rsidRPr="00321931">
        <w:rPr>
          <w:rFonts w:ascii="Palatino Linotype" w:hAnsi="Palatino Linotype"/>
          <w:color w:val="auto"/>
          <w:sz w:val="22"/>
          <w:szCs w:val="22"/>
          <w:lang w:val="en-GB"/>
        </w:rPr>
        <w:t>Objective</w:t>
      </w:r>
      <w:bookmarkEnd w:id="4"/>
      <w:r w:rsidRPr="00321931">
        <w:rPr>
          <w:rFonts w:ascii="Palatino Linotype" w:hAnsi="Palatino Linotype"/>
          <w:color w:val="auto"/>
          <w:sz w:val="22"/>
          <w:szCs w:val="22"/>
          <w:lang w:val="en-GB"/>
        </w:rPr>
        <w:t xml:space="preserve"> </w:t>
      </w:r>
    </w:p>
    <w:p w14:paraId="72EB381A" w14:textId="52D479D6" w:rsidR="00EF77FF" w:rsidRDefault="00EF77FF" w:rsidP="00834B8D">
      <w:pPr>
        <w:pStyle w:val="ListParagraph"/>
        <w:spacing w:after="120"/>
        <w:contextualSpacing w:val="0"/>
        <w:jc w:val="both"/>
        <w:rPr>
          <w:rFonts w:ascii="Palatino Linotype" w:eastAsiaTheme="minorEastAsia" w:hAnsi="Palatino Linotype" w:cstheme="majorBidi"/>
          <w:lang w:val="en-US"/>
        </w:rPr>
      </w:pPr>
      <w:r w:rsidRPr="000F3497">
        <w:rPr>
          <w:rFonts w:ascii="Palatino Linotype" w:eastAsiaTheme="minorEastAsia" w:hAnsi="Palatino Linotype" w:cstheme="majorBidi"/>
          <w:highlight w:val="cyan"/>
          <w:lang w:val="en-US"/>
        </w:rPr>
        <w:t>The objective of this Regulation is to</w:t>
      </w:r>
      <w:r w:rsidR="00834B8D" w:rsidRPr="000F3497">
        <w:rPr>
          <w:rFonts w:ascii="Palatino Linotype" w:eastAsiaTheme="minorEastAsia" w:hAnsi="Palatino Linotype" w:cstheme="majorBidi"/>
          <w:highlight w:val="cyan"/>
          <w:lang w:val="en-US"/>
        </w:rPr>
        <w:t xml:space="preserve"> facilitate the implementation </w:t>
      </w:r>
      <w:r w:rsidR="009419F9" w:rsidRPr="000F3497">
        <w:rPr>
          <w:rFonts w:ascii="Palatino Linotype" w:eastAsiaTheme="minorEastAsia" w:hAnsi="Palatino Linotype" w:cstheme="majorBidi"/>
          <w:highlight w:val="cyan"/>
          <w:lang w:val="en-US"/>
        </w:rPr>
        <w:t xml:space="preserve">of </w:t>
      </w:r>
      <w:r w:rsidR="000F3497">
        <w:rPr>
          <w:rFonts w:ascii="Palatino Linotype" w:eastAsiaTheme="minorEastAsia" w:hAnsi="Palatino Linotype" w:cstheme="majorBidi"/>
          <w:highlight w:val="cyan"/>
          <w:lang w:val="en-US"/>
        </w:rPr>
        <w:t xml:space="preserve">the </w:t>
      </w:r>
      <w:r w:rsidR="009419F9" w:rsidRPr="000F3497">
        <w:rPr>
          <w:rFonts w:ascii="Palatino Linotype" w:eastAsiaTheme="minorEastAsia" w:hAnsi="Palatino Linotype" w:cstheme="majorBidi"/>
          <w:highlight w:val="cyan"/>
          <w:lang w:val="en-US"/>
        </w:rPr>
        <w:t xml:space="preserve">arm’s length principle </w:t>
      </w:r>
      <w:r w:rsidR="006D6E32" w:rsidRPr="000F3497">
        <w:rPr>
          <w:rFonts w:ascii="Palatino Linotype" w:eastAsiaTheme="minorEastAsia" w:hAnsi="Palatino Linotype" w:cstheme="majorBidi"/>
          <w:highlight w:val="cyan"/>
          <w:lang w:val="en-US"/>
        </w:rPr>
        <w:t xml:space="preserve">and transfer pricing documentation </w:t>
      </w:r>
      <w:r w:rsidR="009419F9" w:rsidRPr="000F3497">
        <w:rPr>
          <w:rFonts w:ascii="Palatino Linotype" w:eastAsiaTheme="minorEastAsia" w:hAnsi="Palatino Linotype" w:cstheme="majorBidi"/>
          <w:highlight w:val="cyan"/>
          <w:lang w:val="en-US"/>
        </w:rPr>
        <w:t xml:space="preserve">in accordance with Section 67 </w:t>
      </w:r>
      <w:r w:rsidR="00BF3A65" w:rsidRPr="000F3497">
        <w:rPr>
          <w:rFonts w:ascii="Palatino Linotype" w:eastAsiaTheme="minorEastAsia" w:hAnsi="Palatino Linotype" w:cstheme="majorBidi"/>
          <w:highlight w:val="cyan"/>
          <w:lang w:val="en-US"/>
        </w:rPr>
        <w:t xml:space="preserve">and </w:t>
      </w:r>
      <w:r w:rsidR="00834B8D" w:rsidRPr="000F3497">
        <w:rPr>
          <w:rFonts w:ascii="Palatino Linotype" w:eastAsiaTheme="minorEastAsia" w:hAnsi="Palatino Linotype" w:cstheme="majorBidi"/>
          <w:highlight w:val="cyan"/>
          <w:lang w:val="en-US"/>
        </w:rPr>
        <w:t>Section 68 of the Act</w:t>
      </w:r>
      <w:r w:rsidR="009419F9" w:rsidRPr="000F3497">
        <w:rPr>
          <w:rFonts w:ascii="Palatino Linotype" w:eastAsiaTheme="minorEastAsia" w:hAnsi="Palatino Linotype" w:cstheme="majorBidi"/>
          <w:highlight w:val="cyan"/>
          <w:lang w:val="en-US"/>
        </w:rPr>
        <w:t xml:space="preserve"> respectively. </w:t>
      </w:r>
      <w:r w:rsidR="00995CAA" w:rsidRPr="000F3497">
        <w:rPr>
          <w:rFonts w:ascii="Palatino Linotype" w:eastAsiaTheme="minorEastAsia" w:hAnsi="Palatino Linotype" w:cstheme="majorBidi"/>
          <w:highlight w:val="cyan"/>
          <w:lang w:val="en-US"/>
        </w:rPr>
        <w:t>This Regulation</w:t>
      </w:r>
      <w:r w:rsidR="00834B8D" w:rsidRPr="000F3497">
        <w:rPr>
          <w:rFonts w:ascii="Palatino Linotype" w:eastAsiaTheme="minorEastAsia" w:hAnsi="Palatino Linotype" w:cstheme="majorBidi"/>
          <w:highlight w:val="cyan"/>
          <w:lang w:val="en-US"/>
        </w:rPr>
        <w:t xml:space="preserve"> set</w:t>
      </w:r>
      <w:r w:rsidR="000F3497">
        <w:rPr>
          <w:rFonts w:ascii="Palatino Linotype" w:eastAsiaTheme="minorEastAsia" w:hAnsi="Palatino Linotype" w:cstheme="majorBidi"/>
          <w:highlight w:val="cyan"/>
          <w:lang w:val="en-US"/>
        </w:rPr>
        <w:t>s</w:t>
      </w:r>
      <w:r w:rsidR="00834B8D" w:rsidRPr="000F3497">
        <w:rPr>
          <w:rFonts w:ascii="Palatino Linotype" w:eastAsiaTheme="minorEastAsia" w:hAnsi="Palatino Linotype" w:cstheme="majorBidi"/>
          <w:highlight w:val="cyan"/>
          <w:lang w:val="en-US"/>
        </w:rPr>
        <w:t xml:space="preserve"> out rules to be followed by persons </w:t>
      </w:r>
      <w:r w:rsidR="00CE3CFF" w:rsidRPr="000F3497">
        <w:rPr>
          <w:rFonts w:ascii="Palatino Linotype" w:eastAsiaTheme="minorEastAsia" w:hAnsi="Palatino Linotype" w:cstheme="majorBidi"/>
          <w:highlight w:val="cyan"/>
          <w:lang w:val="en-US"/>
        </w:rPr>
        <w:t xml:space="preserve">who are </w:t>
      </w:r>
      <w:r w:rsidR="00834B8D" w:rsidRPr="000F3497">
        <w:rPr>
          <w:rFonts w:ascii="Palatino Linotype" w:eastAsiaTheme="minorEastAsia" w:hAnsi="Palatino Linotype" w:cstheme="majorBidi"/>
          <w:highlight w:val="cyan"/>
          <w:lang w:val="en-US"/>
        </w:rPr>
        <w:t xml:space="preserve">subject to </w:t>
      </w:r>
      <w:r w:rsidR="009419F9" w:rsidRPr="000F3497">
        <w:rPr>
          <w:rFonts w:ascii="Palatino Linotype" w:eastAsiaTheme="minorEastAsia" w:hAnsi="Palatino Linotype" w:cstheme="majorBidi"/>
          <w:highlight w:val="cyan"/>
          <w:lang w:val="en-US"/>
        </w:rPr>
        <w:t xml:space="preserve">the </w:t>
      </w:r>
      <w:proofErr w:type="gramStart"/>
      <w:r w:rsidR="009419F9" w:rsidRPr="000F3497">
        <w:rPr>
          <w:rFonts w:ascii="Palatino Linotype" w:eastAsiaTheme="minorEastAsia" w:hAnsi="Palatino Linotype" w:cstheme="majorBidi"/>
          <w:highlight w:val="cyan"/>
          <w:lang w:val="en-US"/>
        </w:rPr>
        <w:t>aforementioned</w:t>
      </w:r>
      <w:r w:rsidR="00834B8D" w:rsidRPr="000F3497">
        <w:rPr>
          <w:rFonts w:ascii="Palatino Linotype" w:eastAsiaTheme="minorEastAsia" w:hAnsi="Palatino Linotype" w:cstheme="majorBidi"/>
          <w:highlight w:val="cyan"/>
          <w:lang w:val="en-US"/>
        </w:rPr>
        <w:t xml:space="preserve"> Section</w:t>
      </w:r>
      <w:r w:rsidR="009419F9" w:rsidRPr="000F3497">
        <w:rPr>
          <w:rFonts w:ascii="Palatino Linotype" w:eastAsiaTheme="minorEastAsia" w:hAnsi="Palatino Linotype" w:cstheme="majorBidi"/>
          <w:highlight w:val="cyan"/>
          <w:lang w:val="en-US"/>
        </w:rPr>
        <w:t>s</w:t>
      </w:r>
      <w:proofErr w:type="gramEnd"/>
      <w:r w:rsidR="00834B8D" w:rsidRPr="000F3497">
        <w:rPr>
          <w:rFonts w:ascii="Palatino Linotype" w:eastAsiaTheme="minorEastAsia" w:hAnsi="Palatino Linotype" w:cstheme="majorBidi"/>
          <w:highlight w:val="cyan"/>
          <w:lang w:val="en-US"/>
        </w:rPr>
        <w:t xml:space="preserve"> and establish</w:t>
      </w:r>
      <w:r w:rsidR="000F3497">
        <w:rPr>
          <w:rFonts w:ascii="Palatino Linotype" w:eastAsiaTheme="minorEastAsia" w:hAnsi="Palatino Linotype" w:cstheme="majorBidi"/>
          <w:highlight w:val="cyan"/>
          <w:lang w:val="en-US"/>
        </w:rPr>
        <w:t>es</w:t>
      </w:r>
      <w:r w:rsidR="00834B8D" w:rsidRPr="000F3497">
        <w:rPr>
          <w:rFonts w:ascii="Palatino Linotype" w:eastAsiaTheme="minorEastAsia" w:hAnsi="Palatino Linotype" w:cstheme="majorBidi"/>
          <w:highlight w:val="cyan"/>
          <w:lang w:val="en-US"/>
        </w:rPr>
        <w:t xml:space="preserve"> the policies and procedures with regard to the implementation of the provisions of </w:t>
      </w:r>
      <w:r w:rsidR="003362B5" w:rsidRPr="000F3497">
        <w:rPr>
          <w:rFonts w:ascii="Palatino Linotype" w:eastAsiaTheme="minorEastAsia" w:hAnsi="Palatino Linotype" w:cstheme="majorBidi"/>
          <w:highlight w:val="cyan"/>
          <w:lang w:val="en-US"/>
        </w:rPr>
        <w:t>those Sections</w:t>
      </w:r>
      <w:r w:rsidR="00834B8D" w:rsidRPr="000F3497">
        <w:rPr>
          <w:rFonts w:ascii="Palatino Linotype" w:eastAsiaTheme="minorEastAsia" w:hAnsi="Palatino Linotype" w:cstheme="majorBidi"/>
          <w:highlight w:val="cyan"/>
          <w:lang w:val="en-US"/>
        </w:rPr>
        <w:t>.</w:t>
      </w:r>
      <w:r w:rsidRPr="00321931">
        <w:rPr>
          <w:rFonts w:ascii="Palatino Linotype" w:eastAsiaTheme="minorEastAsia" w:hAnsi="Palatino Linotype" w:cstheme="majorBidi"/>
          <w:lang w:val="en-US"/>
        </w:rPr>
        <w:t xml:space="preserve"> </w:t>
      </w:r>
    </w:p>
    <w:p w14:paraId="6887EB29" w14:textId="77777777" w:rsidR="000F3497" w:rsidRPr="00321931" w:rsidRDefault="000F3497" w:rsidP="00834B8D">
      <w:pPr>
        <w:pStyle w:val="ListParagraph"/>
        <w:spacing w:after="120"/>
        <w:contextualSpacing w:val="0"/>
        <w:jc w:val="both"/>
        <w:rPr>
          <w:rFonts w:ascii="Palatino Linotype" w:eastAsiaTheme="minorEastAsia" w:hAnsi="Palatino Linotype" w:cstheme="majorBidi"/>
          <w:lang w:val="en-US"/>
        </w:rPr>
      </w:pPr>
    </w:p>
    <w:p w14:paraId="0DBCF27B" w14:textId="3EA422AE" w:rsidR="003362B5" w:rsidRPr="00321931" w:rsidRDefault="003362B5" w:rsidP="00834B8D">
      <w:pPr>
        <w:pStyle w:val="ListParagraph"/>
        <w:spacing w:after="120"/>
        <w:contextualSpacing w:val="0"/>
        <w:jc w:val="both"/>
        <w:rPr>
          <w:rFonts w:ascii="Palatino Linotype" w:eastAsiaTheme="minorEastAsia" w:hAnsi="Palatino Linotype" w:cstheme="majorBidi"/>
          <w:lang w:val="en-US"/>
        </w:rPr>
      </w:pPr>
    </w:p>
    <w:p w14:paraId="480D6FD6" w14:textId="77777777" w:rsidR="000F3497" w:rsidRDefault="00E31647" w:rsidP="00964C3C">
      <w:pPr>
        <w:pStyle w:val="Heading1"/>
        <w:rPr>
          <w:sz w:val="24"/>
          <w:szCs w:val="24"/>
          <w:highlight w:val="cyan"/>
        </w:rPr>
      </w:pPr>
      <w:bookmarkStart w:id="5" w:name="_Toc136789317"/>
      <w:r w:rsidRPr="000F3497">
        <w:rPr>
          <w:sz w:val="24"/>
          <w:szCs w:val="24"/>
          <w:highlight w:val="cyan"/>
        </w:rPr>
        <w:t>CHAPTER 2</w:t>
      </w:r>
      <w:r w:rsidR="000F3497">
        <w:rPr>
          <w:sz w:val="24"/>
          <w:szCs w:val="24"/>
          <w:highlight w:val="cyan"/>
        </w:rPr>
        <w:t xml:space="preserve">: THE </w:t>
      </w:r>
      <w:r w:rsidRPr="000F3497">
        <w:rPr>
          <w:sz w:val="24"/>
          <w:szCs w:val="24"/>
          <w:highlight w:val="cyan"/>
        </w:rPr>
        <w:t>ARM’S LENGTH PRINCIPLE</w:t>
      </w:r>
      <w:bookmarkEnd w:id="5"/>
      <w:r w:rsidRPr="000F3497">
        <w:rPr>
          <w:sz w:val="24"/>
          <w:szCs w:val="24"/>
          <w:highlight w:val="cyan"/>
        </w:rPr>
        <w:t xml:space="preserve"> </w:t>
      </w:r>
    </w:p>
    <w:p w14:paraId="39D3428E" w14:textId="44E609A9" w:rsidR="00E31647" w:rsidRDefault="00E31647" w:rsidP="00964C3C">
      <w:pPr>
        <w:pStyle w:val="Heading1"/>
        <w:rPr>
          <w:sz w:val="24"/>
          <w:szCs w:val="24"/>
        </w:rPr>
      </w:pPr>
      <w:bookmarkStart w:id="6" w:name="_Toc136789318"/>
      <w:r w:rsidRPr="000F3497">
        <w:rPr>
          <w:sz w:val="24"/>
          <w:szCs w:val="24"/>
          <w:highlight w:val="cyan"/>
        </w:rPr>
        <w:t xml:space="preserve">AND </w:t>
      </w:r>
      <w:r w:rsidR="000F3497">
        <w:rPr>
          <w:sz w:val="24"/>
          <w:szCs w:val="24"/>
          <w:highlight w:val="cyan"/>
        </w:rPr>
        <w:t xml:space="preserve">ITS </w:t>
      </w:r>
      <w:r w:rsidRPr="000F3497">
        <w:rPr>
          <w:sz w:val="24"/>
          <w:szCs w:val="24"/>
          <w:highlight w:val="cyan"/>
        </w:rPr>
        <w:t>APPLICATION</w:t>
      </w:r>
      <w:bookmarkEnd w:id="6"/>
    </w:p>
    <w:p w14:paraId="0DA9C9E1" w14:textId="77777777" w:rsidR="000F3497" w:rsidRPr="000F3497" w:rsidRDefault="000F3497" w:rsidP="000F3497">
      <w:pPr>
        <w:rPr>
          <w:lang w:val="en-GB"/>
        </w:rPr>
      </w:pPr>
    </w:p>
    <w:p w14:paraId="293FAFC8" w14:textId="6EA4B162" w:rsidR="003362B5" w:rsidRPr="00D24A46" w:rsidRDefault="00BF3A65" w:rsidP="003362B5">
      <w:pPr>
        <w:pStyle w:val="Heading2"/>
        <w:numPr>
          <w:ilvl w:val="0"/>
          <w:numId w:val="1"/>
        </w:numPr>
        <w:spacing w:before="0" w:after="120"/>
        <w:ind w:left="720" w:hanging="720"/>
        <w:rPr>
          <w:rFonts w:ascii="Palatino Linotype" w:hAnsi="Palatino Linotype"/>
          <w:color w:val="auto"/>
          <w:sz w:val="22"/>
          <w:szCs w:val="22"/>
          <w:highlight w:val="cyan"/>
          <w:lang w:val="en-GB"/>
        </w:rPr>
      </w:pPr>
      <w:bookmarkStart w:id="7" w:name="_Toc136789319"/>
      <w:r w:rsidRPr="00D24A46">
        <w:rPr>
          <w:rFonts w:ascii="Palatino Linotype" w:hAnsi="Palatino Linotype"/>
          <w:color w:val="auto"/>
          <w:sz w:val="22"/>
          <w:szCs w:val="22"/>
          <w:highlight w:val="cyan"/>
          <w:lang w:val="en-GB"/>
        </w:rPr>
        <w:t>Arm’s Length Principle</w:t>
      </w:r>
      <w:bookmarkEnd w:id="7"/>
    </w:p>
    <w:p w14:paraId="5EDFF969" w14:textId="6EC0D5F1" w:rsidR="006D6E32" w:rsidRPr="00D24A46" w:rsidRDefault="00CC3DE8" w:rsidP="00040A6D">
      <w:pPr>
        <w:pStyle w:val="ListParagraph"/>
        <w:numPr>
          <w:ilvl w:val="0"/>
          <w:numId w:val="22"/>
        </w:numPr>
        <w:spacing w:after="120"/>
        <w:ind w:left="1350" w:hanging="630"/>
        <w:contextualSpacing w:val="0"/>
        <w:jc w:val="both"/>
        <w:rPr>
          <w:rFonts w:ascii="Palatino Linotype" w:hAnsi="Palatino Linotype" w:cstheme="majorBidi"/>
          <w:highlight w:val="cyan"/>
          <w:lang w:val="en-US"/>
        </w:rPr>
      </w:pPr>
      <w:r w:rsidRPr="00D24A46">
        <w:rPr>
          <w:rFonts w:ascii="Palatino Linotype" w:hAnsi="Palatino Linotype" w:cstheme="majorBidi"/>
          <w:highlight w:val="cyan"/>
          <w:lang w:val="en-US"/>
        </w:rPr>
        <w:t xml:space="preserve">Where associated parties have </w:t>
      </w:r>
      <w:r w:rsidR="000F3497" w:rsidRPr="00D24A46">
        <w:rPr>
          <w:rFonts w:ascii="Palatino Linotype" w:hAnsi="Palatino Linotype" w:cstheme="majorBidi"/>
          <w:highlight w:val="cyan"/>
          <w:lang w:val="en-US"/>
        </w:rPr>
        <w:t>entered</w:t>
      </w:r>
      <w:r w:rsidRPr="00D24A46">
        <w:rPr>
          <w:rFonts w:ascii="Palatino Linotype" w:hAnsi="Palatino Linotype" w:cstheme="majorBidi"/>
          <w:highlight w:val="cyan"/>
          <w:lang w:val="en-US"/>
        </w:rPr>
        <w:t xml:space="preserve"> a</w:t>
      </w:r>
      <w:r w:rsidR="00995CAA" w:rsidRPr="00D24A46">
        <w:rPr>
          <w:rFonts w:ascii="Palatino Linotype" w:hAnsi="Palatino Linotype" w:cstheme="majorBidi"/>
          <w:highlight w:val="cyan"/>
          <w:lang w:val="en-US"/>
        </w:rPr>
        <w:t>n arrangement or a</w:t>
      </w:r>
      <w:r w:rsidRPr="00D24A46">
        <w:rPr>
          <w:rFonts w:ascii="Palatino Linotype" w:hAnsi="Palatino Linotype" w:cstheme="majorBidi"/>
          <w:highlight w:val="cyan"/>
          <w:lang w:val="en-US"/>
        </w:rPr>
        <w:t xml:space="preserve"> transaction </w:t>
      </w:r>
      <w:r w:rsidR="00995CAA" w:rsidRPr="00D24A46">
        <w:rPr>
          <w:rFonts w:ascii="Palatino Linotype" w:hAnsi="Palatino Linotype" w:cstheme="majorBidi"/>
          <w:highlight w:val="cyan"/>
          <w:lang w:val="en-US"/>
        </w:rPr>
        <w:t xml:space="preserve">(including a </w:t>
      </w:r>
      <w:r w:rsidRPr="00D24A46">
        <w:rPr>
          <w:rFonts w:ascii="Palatino Linotype" w:hAnsi="Palatino Linotype" w:cstheme="majorBidi"/>
          <w:highlight w:val="cyan"/>
          <w:lang w:val="en-US"/>
        </w:rPr>
        <w:t>series of transactions</w:t>
      </w:r>
      <w:r w:rsidR="00995CAA" w:rsidRPr="00D24A46">
        <w:rPr>
          <w:rFonts w:ascii="Palatino Linotype" w:hAnsi="Palatino Linotype" w:cstheme="majorBidi"/>
          <w:highlight w:val="cyan"/>
          <w:lang w:val="en-US"/>
        </w:rPr>
        <w:t>)</w:t>
      </w:r>
      <w:r w:rsidRPr="00D24A46">
        <w:rPr>
          <w:rFonts w:ascii="Palatino Linotype" w:hAnsi="Palatino Linotype" w:cstheme="majorBidi"/>
          <w:highlight w:val="cyan"/>
          <w:lang w:val="en-US"/>
        </w:rPr>
        <w:t xml:space="preserve"> to which th</w:t>
      </w:r>
      <w:r w:rsidR="00FA1900" w:rsidRPr="00D24A46">
        <w:rPr>
          <w:rFonts w:ascii="Palatino Linotype" w:hAnsi="Palatino Linotype" w:cstheme="majorBidi"/>
          <w:highlight w:val="cyan"/>
          <w:lang w:val="en-US"/>
        </w:rPr>
        <w:t>is</w:t>
      </w:r>
      <w:r w:rsidRPr="00D24A46">
        <w:rPr>
          <w:rFonts w:ascii="Palatino Linotype" w:hAnsi="Palatino Linotype" w:cstheme="majorBidi"/>
          <w:highlight w:val="cyan"/>
          <w:lang w:val="en-US"/>
        </w:rPr>
        <w:t xml:space="preserve"> Regulation app</w:t>
      </w:r>
      <w:r w:rsidR="000F3497" w:rsidRPr="00D24A46">
        <w:rPr>
          <w:rFonts w:ascii="Palatino Linotype" w:hAnsi="Palatino Linotype" w:cstheme="majorBidi"/>
          <w:highlight w:val="cyan"/>
          <w:lang w:val="en-US"/>
        </w:rPr>
        <w:t>lies</w:t>
      </w:r>
      <w:r w:rsidRPr="00D24A46">
        <w:rPr>
          <w:rFonts w:ascii="Palatino Linotype" w:hAnsi="Palatino Linotype" w:cstheme="majorBidi"/>
          <w:highlight w:val="cyan"/>
          <w:lang w:val="en-US"/>
        </w:rPr>
        <w:t xml:space="preserve">, the person shall ensure </w:t>
      </w:r>
      <w:r w:rsidR="00D24A46" w:rsidRPr="00D24A46">
        <w:rPr>
          <w:rFonts w:ascii="Palatino Linotype" w:hAnsi="Palatino Linotype" w:cstheme="majorBidi"/>
          <w:highlight w:val="cyan"/>
          <w:lang w:val="en-US"/>
        </w:rPr>
        <w:t xml:space="preserve">that </w:t>
      </w:r>
      <w:r w:rsidRPr="00D24A46">
        <w:rPr>
          <w:rFonts w:ascii="Palatino Linotype" w:hAnsi="Palatino Linotype" w:cstheme="majorBidi"/>
          <w:highlight w:val="cyan"/>
          <w:lang w:val="en-US"/>
        </w:rPr>
        <w:t xml:space="preserve">the taxable income resulting from the </w:t>
      </w:r>
      <w:r w:rsidR="00995CAA" w:rsidRPr="00D24A46">
        <w:rPr>
          <w:rFonts w:ascii="Palatino Linotype" w:hAnsi="Palatino Linotype" w:cstheme="majorBidi"/>
          <w:highlight w:val="cyan"/>
          <w:lang w:val="en-US"/>
        </w:rPr>
        <w:t xml:space="preserve">arrangement or transaction </w:t>
      </w:r>
      <w:r w:rsidR="00D24A46" w:rsidRPr="00D24A46">
        <w:rPr>
          <w:rFonts w:ascii="Palatino Linotype" w:hAnsi="Palatino Linotype" w:cstheme="majorBidi"/>
          <w:highlight w:val="cyan"/>
          <w:lang w:val="en-US"/>
        </w:rPr>
        <w:t>is</w:t>
      </w:r>
      <w:r w:rsidRPr="00D24A46">
        <w:rPr>
          <w:rFonts w:ascii="Palatino Linotype" w:hAnsi="Palatino Linotype" w:cstheme="majorBidi"/>
          <w:highlight w:val="cyan"/>
          <w:lang w:val="en-US"/>
        </w:rPr>
        <w:t xml:space="preserve"> ascertained in a manner that is consistent with the arm’s length principle.</w:t>
      </w:r>
    </w:p>
    <w:p w14:paraId="3F18CFD3" w14:textId="4CB031C7" w:rsidR="00CC3DE8" w:rsidRPr="00D24A46" w:rsidRDefault="00CC3DE8" w:rsidP="00040A6D">
      <w:pPr>
        <w:pStyle w:val="ListParagraph"/>
        <w:numPr>
          <w:ilvl w:val="0"/>
          <w:numId w:val="22"/>
        </w:numPr>
        <w:spacing w:after="120"/>
        <w:ind w:left="1350" w:hanging="630"/>
        <w:contextualSpacing w:val="0"/>
        <w:jc w:val="both"/>
        <w:rPr>
          <w:rFonts w:ascii="Palatino Linotype" w:hAnsi="Palatino Linotype" w:cstheme="majorBidi"/>
          <w:highlight w:val="cyan"/>
          <w:lang w:val="en-US"/>
        </w:rPr>
      </w:pPr>
      <w:r w:rsidRPr="00D24A46">
        <w:rPr>
          <w:rFonts w:ascii="Palatino Linotype" w:hAnsi="Palatino Linotype" w:cstheme="majorBidi"/>
          <w:highlight w:val="cyan"/>
          <w:lang w:val="en-US"/>
        </w:rPr>
        <w:t xml:space="preserve">A controlled transaction is </w:t>
      </w:r>
      <w:r w:rsidR="00FA1900" w:rsidRPr="00D24A46">
        <w:rPr>
          <w:rFonts w:ascii="Palatino Linotype" w:hAnsi="Palatino Linotype" w:cstheme="majorBidi"/>
          <w:highlight w:val="cyan"/>
          <w:lang w:val="en-US"/>
        </w:rPr>
        <w:t xml:space="preserve">in accordance with </w:t>
      </w:r>
      <w:r w:rsidR="00D24A46" w:rsidRPr="00D24A46">
        <w:rPr>
          <w:rFonts w:ascii="Palatino Linotype" w:hAnsi="Palatino Linotype" w:cstheme="majorBidi"/>
          <w:highlight w:val="cyan"/>
          <w:lang w:val="en-US"/>
        </w:rPr>
        <w:t xml:space="preserve">the </w:t>
      </w:r>
      <w:r w:rsidR="00FA1900" w:rsidRPr="00D24A46">
        <w:rPr>
          <w:rFonts w:ascii="Palatino Linotype" w:hAnsi="Palatino Linotype" w:cstheme="majorBidi"/>
          <w:highlight w:val="cyan"/>
          <w:lang w:val="en-US"/>
        </w:rPr>
        <w:t>arm’s length principle</w:t>
      </w:r>
      <w:r w:rsidRPr="00D24A46">
        <w:rPr>
          <w:rFonts w:ascii="Palatino Linotype" w:hAnsi="Palatino Linotype" w:cstheme="majorBidi"/>
          <w:highlight w:val="cyan"/>
          <w:lang w:val="en-US"/>
        </w:rPr>
        <w:t xml:space="preserve"> if the conditions of the transaction do not differ from the conditions that would have </w:t>
      </w:r>
      <w:r w:rsidRPr="00D24A46">
        <w:rPr>
          <w:rFonts w:ascii="Palatino Linotype" w:hAnsi="Palatino Linotype" w:cstheme="majorBidi"/>
          <w:highlight w:val="cyan"/>
          <w:lang w:val="en-US"/>
        </w:rPr>
        <w:lastRenderedPageBreak/>
        <w:t xml:space="preserve">applied between independent </w:t>
      </w:r>
      <w:r w:rsidR="00995CAA" w:rsidRPr="00D24A46">
        <w:rPr>
          <w:rFonts w:ascii="Palatino Linotype" w:hAnsi="Palatino Linotype" w:cstheme="majorBidi"/>
          <w:highlight w:val="cyan"/>
          <w:lang w:val="en-US"/>
        </w:rPr>
        <w:t>parties</w:t>
      </w:r>
      <w:r w:rsidRPr="00D24A46">
        <w:rPr>
          <w:rFonts w:ascii="Palatino Linotype" w:hAnsi="Palatino Linotype" w:cstheme="majorBidi"/>
          <w:highlight w:val="cyan"/>
          <w:lang w:val="en-US"/>
        </w:rPr>
        <w:t xml:space="preserve"> in comparable transactions carried out under comparable circumstances.</w:t>
      </w:r>
    </w:p>
    <w:p w14:paraId="7C9984B8" w14:textId="3E412E30" w:rsidR="000C2240" w:rsidRPr="00D24A46" w:rsidRDefault="000C2240" w:rsidP="00040A6D">
      <w:pPr>
        <w:pStyle w:val="ListParagraph"/>
        <w:numPr>
          <w:ilvl w:val="0"/>
          <w:numId w:val="22"/>
        </w:numPr>
        <w:spacing w:after="120"/>
        <w:ind w:left="1350" w:hanging="63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In applying the arm’s length principle in controlled transaction(s), a comparability analysis shall be performed</w:t>
      </w:r>
      <w:r w:rsidR="00BB207D" w:rsidRPr="00D24A46">
        <w:rPr>
          <w:rFonts w:ascii="Palatino Linotype" w:eastAsiaTheme="majorEastAsia" w:hAnsi="Palatino Linotype" w:cstheme="majorBidi"/>
          <w:highlight w:val="cyan"/>
          <w:lang w:val="en-GB"/>
        </w:rPr>
        <w:t>, except for transactions exempted under Section 67 (a) of the Act and Section 17 of this Regulation</w:t>
      </w:r>
      <w:r w:rsidRPr="00D24A46">
        <w:rPr>
          <w:rFonts w:ascii="Palatino Linotype" w:eastAsiaTheme="majorEastAsia" w:hAnsi="Palatino Linotype" w:cstheme="majorBidi"/>
          <w:highlight w:val="cyan"/>
          <w:lang w:val="en-GB"/>
        </w:rPr>
        <w:t xml:space="preserve">. </w:t>
      </w:r>
      <w:r w:rsidR="00292749" w:rsidRPr="00D24A46">
        <w:rPr>
          <w:rFonts w:ascii="Palatino Linotype" w:eastAsiaTheme="majorEastAsia" w:hAnsi="Palatino Linotype" w:cstheme="majorBidi"/>
          <w:highlight w:val="cyan"/>
          <w:lang w:val="en-GB"/>
        </w:rPr>
        <w:t>The purpose of the comparability analysis is:</w:t>
      </w:r>
    </w:p>
    <w:p w14:paraId="288592F6" w14:textId="77777777" w:rsidR="000C2240" w:rsidRPr="00D24A46" w:rsidRDefault="000C2240" w:rsidP="00040A6D">
      <w:pPr>
        <w:pStyle w:val="ListParagraph"/>
        <w:numPr>
          <w:ilvl w:val="0"/>
          <w:numId w:val="25"/>
        </w:numPr>
        <w:spacing w:after="120"/>
        <w:ind w:left="2070" w:hanging="72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Identifying the commercial or financial relations between the associated parties and the conditions and economically relevant circumstances attaching to those relations in order that the controlled transaction is accurately delineated; and</w:t>
      </w:r>
    </w:p>
    <w:p w14:paraId="2763B49F" w14:textId="47E69BAA" w:rsidR="000C2240" w:rsidRPr="00D24A46" w:rsidRDefault="000C2240" w:rsidP="00040A6D">
      <w:pPr>
        <w:pStyle w:val="ListParagraph"/>
        <w:numPr>
          <w:ilvl w:val="0"/>
          <w:numId w:val="25"/>
        </w:numPr>
        <w:spacing w:after="120"/>
        <w:ind w:left="2070" w:hanging="72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Comparing the conditions and the economically relevant circumstances of the controlled transaction as accurately delineated with the conditions and the economically relevant circumstances of comparable transactions between independent parties.</w:t>
      </w:r>
    </w:p>
    <w:p w14:paraId="74EE92DC" w14:textId="77777777" w:rsidR="000C2240" w:rsidRPr="00321931" w:rsidRDefault="000C2240" w:rsidP="00105FDD">
      <w:pPr>
        <w:pStyle w:val="ListParagraph"/>
        <w:spacing w:after="120"/>
        <w:ind w:left="1440"/>
        <w:contextualSpacing w:val="0"/>
        <w:jc w:val="both"/>
        <w:rPr>
          <w:rFonts w:ascii="Palatino Linotype" w:eastAsiaTheme="majorEastAsia" w:hAnsi="Palatino Linotype" w:cstheme="majorBidi"/>
          <w:lang w:val="en-GB"/>
        </w:rPr>
      </w:pPr>
    </w:p>
    <w:p w14:paraId="6A470742" w14:textId="7B844984" w:rsidR="00925D27" w:rsidRPr="00D24A46" w:rsidRDefault="00925D27" w:rsidP="00105FDD">
      <w:pPr>
        <w:pStyle w:val="Heading2"/>
        <w:numPr>
          <w:ilvl w:val="0"/>
          <w:numId w:val="1"/>
        </w:numPr>
        <w:spacing w:before="0" w:after="120"/>
        <w:ind w:left="720" w:hanging="720"/>
        <w:rPr>
          <w:rFonts w:ascii="Palatino Linotype" w:hAnsi="Palatino Linotype"/>
          <w:highlight w:val="cyan"/>
          <w:lang w:val="en-GB"/>
        </w:rPr>
      </w:pPr>
      <w:bookmarkStart w:id="8" w:name="_Toc136789320"/>
      <w:r w:rsidRPr="00D24A46">
        <w:rPr>
          <w:rFonts w:ascii="Palatino Linotype" w:hAnsi="Palatino Linotype"/>
          <w:color w:val="auto"/>
          <w:sz w:val="22"/>
          <w:szCs w:val="22"/>
          <w:highlight w:val="cyan"/>
          <w:lang w:val="en-GB"/>
        </w:rPr>
        <w:t>Comparability Factors</w:t>
      </w:r>
      <w:bookmarkEnd w:id="8"/>
    </w:p>
    <w:p w14:paraId="36B98CA2" w14:textId="65123C69" w:rsidR="00C2723E" w:rsidRPr="00D24A46" w:rsidRDefault="00D42066" w:rsidP="00040A6D">
      <w:pPr>
        <w:pStyle w:val="ListParagraph"/>
        <w:numPr>
          <w:ilvl w:val="0"/>
          <w:numId w:val="20"/>
        </w:numPr>
        <w:spacing w:after="120"/>
        <w:ind w:left="1350" w:hanging="63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Th</w:t>
      </w:r>
      <w:r w:rsidR="00D24A46" w:rsidRPr="00D24A46">
        <w:rPr>
          <w:rFonts w:ascii="Palatino Linotype" w:eastAsiaTheme="majorEastAsia" w:hAnsi="Palatino Linotype" w:cstheme="majorBidi"/>
          <w:highlight w:val="cyan"/>
          <w:lang w:val="en-GB"/>
        </w:rPr>
        <w:t>e</w:t>
      </w:r>
      <w:r w:rsidRPr="00D24A46">
        <w:rPr>
          <w:rFonts w:ascii="Palatino Linotype" w:eastAsiaTheme="majorEastAsia" w:hAnsi="Palatino Linotype" w:cstheme="majorBidi"/>
          <w:highlight w:val="cyan"/>
          <w:lang w:val="en-GB"/>
        </w:rPr>
        <w:t xml:space="preserve"> following factors shall be considered to the extent that they are economically relevant in determining whether two or more transactions are comparable:</w:t>
      </w:r>
    </w:p>
    <w:p w14:paraId="4145E42E" w14:textId="537BA826" w:rsidR="00C2723E" w:rsidRPr="00D24A46" w:rsidRDefault="00B224A8" w:rsidP="00040A6D">
      <w:pPr>
        <w:pStyle w:val="ListParagraph"/>
        <w:numPr>
          <w:ilvl w:val="0"/>
          <w:numId w:val="19"/>
        </w:numPr>
        <w:spacing w:after="120"/>
        <w:ind w:left="1980" w:hanging="63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 xml:space="preserve">The contractual terms of the </w:t>
      </w:r>
      <w:proofErr w:type="gramStart"/>
      <w:r w:rsidRPr="00D24A46">
        <w:rPr>
          <w:rFonts w:ascii="Palatino Linotype" w:eastAsiaTheme="majorEastAsia" w:hAnsi="Palatino Linotype" w:cstheme="majorBidi"/>
          <w:highlight w:val="cyan"/>
          <w:lang w:val="en-GB"/>
        </w:rPr>
        <w:t>transaction</w:t>
      </w:r>
      <w:r w:rsidR="00D24A46" w:rsidRPr="00D24A46">
        <w:rPr>
          <w:rFonts w:ascii="Palatino Linotype" w:eastAsiaTheme="majorEastAsia" w:hAnsi="Palatino Linotype" w:cstheme="majorBidi"/>
          <w:highlight w:val="cyan"/>
          <w:lang w:val="en-GB"/>
        </w:rPr>
        <w:t>;</w:t>
      </w:r>
      <w:proofErr w:type="gramEnd"/>
    </w:p>
    <w:p w14:paraId="349271E2" w14:textId="07EDAFB1" w:rsidR="00B224A8" w:rsidRPr="00D24A46" w:rsidRDefault="00B224A8" w:rsidP="00040A6D">
      <w:pPr>
        <w:pStyle w:val="ListParagraph"/>
        <w:numPr>
          <w:ilvl w:val="0"/>
          <w:numId w:val="19"/>
        </w:numPr>
        <w:spacing w:after="120"/>
        <w:ind w:left="1980" w:hanging="63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The functions performed by each of the parties to the transaction, taking into account assets used and risks assumed</w:t>
      </w:r>
      <w:r w:rsidR="00D24A46" w:rsidRPr="00D24A46">
        <w:rPr>
          <w:rFonts w:ascii="Palatino Linotype" w:eastAsiaTheme="majorEastAsia" w:hAnsi="Palatino Linotype" w:cstheme="majorBidi"/>
          <w:highlight w:val="cyan"/>
          <w:lang w:val="en-GB"/>
        </w:rPr>
        <w:t>,</w:t>
      </w:r>
      <w:r w:rsidRPr="00D24A46">
        <w:rPr>
          <w:rFonts w:ascii="Palatino Linotype" w:eastAsiaTheme="majorEastAsia" w:hAnsi="Palatino Linotype" w:cstheme="majorBidi"/>
          <w:highlight w:val="cyan"/>
          <w:lang w:val="en-GB"/>
        </w:rPr>
        <w:t xml:space="preserve"> including how those functions relate to the wider generation of value by the group to which the parties belong, the circumstances surrounding the transaction, and industry </w:t>
      </w:r>
      <w:proofErr w:type="gramStart"/>
      <w:r w:rsidRPr="00D24A46">
        <w:rPr>
          <w:rFonts w:ascii="Palatino Linotype" w:eastAsiaTheme="majorEastAsia" w:hAnsi="Palatino Linotype" w:cstheme="majorBidi"/>
          <w:highlight w:val="cyan"/>
          <w:lang w:val="en-GB"/>
        </w:rPr>
        <w:t>practices</w:t>
      </w:r>
      <w:r w:rsidR="00D24A46" w:rsidRPr="00D24A46">
        <w:rPr>
          <w:rFonts w:ascii="Palatino Linotype" w:eastAsiaTheme="majorEastAsia" w:hAnsi="Palatino Linotype" w:cstheme="majorBidi"/>
          <w:highlight w:val="cyan"/>
          <w:lang w:val="en-GB"/>
        </w:rPr>
        <w:t>;</w:t>
      </w:r>
      <w:proofErr w:type="gramEnd"/>
    </w:p>
    <w:p w14:paraId="7EAB82B8" w14:textId="0DEB9467" w:rsidR="00B224A8" w:rsidRPr="00D24A46" w:rsidRDefault="00B224A8" w:rsidP="00040A6D">
      <w:pPr>
        <w:pStyle w:val="ListParagraph"/>
        <w:numPr>
          <w:ilvl w:val="0"/>
          <w:numId w:val="19"/>
        </w:numPr>
        <w:spacing w:after="120"/>
        <w:ind w:left="1980" w:hanging="63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The characteristics of property transferred, or services provided</w:t>
      </w:r>
      <w:r w:rsidR="00BB207D" w:rsidRPr="00D24A46">
        <w:rPr>
          <w:rFonts w:ascii="Palatino Linotype" w:eastAsiaTheme="majorEastAsia" w:hAnsi="Palatino Linotype" w:cstheme="majorBidi"/>
          <w:highlight w:val="cyan"/>
          <w:lang w:val="en-GB"/>
        </w:rPr>
        <w:t xml:space="preserve">, including financial </w:t>
      </w:r>
      <w:proofErr w:type="gramStart"/>
      <w:r w:rsidR="00BB207D" w:rsidRPr="00D24A46">
        <w:rPr>
          <w:rFonts w:ascii="Palatino Linotype" w:eastAsiaTheme="majorEastAsia" w:hAnsi="Palatino Linotype" w:cstheme="majorBidi"/>
          <w:highlight w:val="cyan"/>
          <w:lang w:val="en-GB"/>
        </w:rPr>
        <w:t>instruments</w:t>
      </w:r>
      <w:r w:rsidR="00D24A46" w:rsidRPr="00D24A46">
        <w:rPr>
          <w:rFonts w:ascii="Palatino Linotype" w:eastAsiaTheme="majorEastAsia" w:hAnsi="Palatino Linotype" w:cstheme="majorBidi"/>
          <w:highlight w:val="cyan"/>
          <w:lang w:val="en-GB"/>
        </w:rPr>
        <w:t>;</w:t>
      </w:r>
      <w:proofErr w:type="gramEnd"/>
    </w:p>
    <w:p w14:paraId="631D070F" w14:textId="67753373" w:rsidR="00B224A8" w:rsidRPr="00D24A46" w:rsidRDefault="00B224A8" w:rsidP="00040A6D">
      <w:pPr>
        <w:pStyle w:val="ListParagraph"/>
        <w:numPr>
          <w:ilvl w:val="0"/>
          <w:numId w:val="19"/>
        </w:numPr>
        <w:spacing w:after="120"/>
        <w:ind w:left="1980" w:hanging="63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 xml:space="preserve">The economic circumstances of the parties and of the market in which the parties </w:t>
      </w:r>
      <w:proofErr w:type="gramStart"/>
      <w:r w:rsidRPr="00D24A46">
        <w:rPr>
          <w:rFonts w:ascii="Palatino Linotype" w:eastAsiaTheme="majorEastAsia" w:hAnsi="Palatino Linotype" w:cstheme="majorBidi"/>
          <w:highlight w:val="cyan"/>
          <w:lang w:val="en-GB"/>
        </w:rPr>
        <w:t>operate</w:t>
      </w:r>
      <w:r w:rsidR="00D24A46" w:rsidRPr="00D24A46">
        <w:rPr>
          <w:rFonts w:ascii="Palatino Linotype" w:eastAsiaTheme="majorEastAsia" w:hAnsi="Palatino Linotype" w:cstheme="majorBidi"/>
          <w:highlight w:val="cyan"/>
          <w:lang w:val="en-GB"/>
        </w:rPr>
        <w:t>;</w:t>
      </w:r>
      <w:proofErr w:type="gramEnd"/>
    </w:p>
    <w:p w14:paraId="28636B65" w14:textId="316ABA73" w:rsidR="00B224A8" w:rsidRPr="00D24A46" w:rsidRDefault="00B224A8" w:rsidP="00040A6D">
      <w:pPr>
        <w:pStyle w:val="ListParagraph"/>
        <w:numPr>
          <w:ilvl w:val="0"/>
          <w:numId w:val="19"/>
        </w:numPr>
        <w:spacing w:after="120"/>
        <w:ind w:left="1980" w:hanging="630"/>
        <w:contextualSpacing w:val="0"/>
        <w:jc w:val="both"/>
        <w:rPr>
          <w:rFonts w:ascii="Palatino Linotype" w:eastAsiaTheme="majorEastAsia" w:hAnsi="Palatino Linotype" w:cstheme="majorBidi"/>
          <w:highlight w:val="cyan"/>
          <w:lang w:val="en-GB"/>
        </w:rPr>
      </w:pPr>
      <w:r w:rsidRPr="00D24A46">
        <w:rPr>
          <w:rFonts w:ascii="Palatino Linotype" w:eastAsiaTheme="majorEastAsia" w:hAnsi="Palatino Linotype" w:cstheme="majorBidi"/>
          <w:highlight w:val="cyan"/>
          <w:lang w:val="en-GB"/>
        </w:rPr>
        <w:t>The business strategies pursued by the parties.</w:t>
      </w:r>
    </w:p>
    <w:p w14:paraId="667F97A8" w14:textId="1C607AE1" w:rsidR="009F354C" w:rsidRPr="00457E51" w:rsidRDefault="00F31B58" w:rsidP="00040A6D">
      <w:pPr>
        <w:pStyle w:val="ListParagraph"/>
        <w:numPr>
          <w:ilvl w:val="0"/>
          <w:numId w:val="20"/>
        </w:numPr>
        <w:spacing w:after="120"/>
        <w:ind w:left="1350" w:hanging="630"/>
        <w:contextualSpacing w:val="0"/>
        <w:jc w:val="both"/>
        <w:rPr>
          <w:rFonts w:ascii="Palatino Linotype" w:eastAsiaTheme="majorEastAsia" w:hAnsi="Palatino Linotype" w:cstheme="majorBidi"/>
          <w:highlight w:val="cyan"/>
          <w:lang w:val="en-GB"/>
        </w:rPr>
      </w:pPr>
      <w:r w:rsidRPr="00457E51">
        <w:rPr>
          <w:rFonts w:ascii="Palatino Linotype" w:eastAsiaTheme="majorEastAsia" w:hAnsi="Palatino Linotype" w:cstheme="majorBidi"/>
          <w:highlight w:val="cyan"/>
          <w:lang w:val="en-GB"/>
        </w:rPr>
        <w:t xml:space="preserve">An independent party transaction is comparable to a controlled transaction within the meaning of this </w:t>
      </w:r>
      <w:proofErr w:type="gramStart"/>
      <w:r w:rsidR="00457E51" w:rsidRPr="00457E51">
        <w:rPr>
          <w:rFonts w:ascii="Palatino Linotype" w:eastAsiaTheme="majorEastAsia" w:hAnsi="Palatino Linotype" w:cstheme="majorBidi"/>
          <w:highlight w:val="cyan"/>
          <w:lang w:val="en-GB"/>
        </w:rPr>
        <w:t>R</w:t>
      </w:r>
      <w:r w:rsidRPr="00457E51">
        <w:rPr>
          <w:rFonts w:ascii="Palatino Linotype" w:eastAsiaTheme="majorEastAsia" w:hAnsi="Palatino Linotype" w:cstheme="majorBidi"/>
          <w:highlight w:val="cyan"/>
          <w:lang w:val="en-GB"/>
        </w:rPr>
        <w:t>egulation;</w:t>
      </w:r>
      <w:proofErr w:type="gramEnd"/>
    </w:p>
    <w:p w14:paraId="22644163" w14:textId="0F5A1E7D" w:rsidR="00F31B58" w:rsidRPr="00F232A4" w:rsidRDefault="00F31B58" w:rsidP="00040A6D">
      <w:pPr>
        <w:pStyle w:val="ListParagraph"/>
        <w:numPr>
          <w:ilvl w:val="0"/>
          <w:numId w:val="23"/>
        </w:numPr>
        <w:spacing w:after="120"/>
        <w:ind w:left="1980" w:hanging="630"/>
        <w:contextualSpacing w:val="0"/>
        <w:jc w:val="both"/>
        <w:rPr>
          <w:rFonts w:ascii="Palatino Linotype" w:eastAsiaTheme="majorEastAsia" w:hAnsi="Palatino Linotype" w:cstheme="majorBidi"/>
          <w:highlight w:val="cyan"/>
          <w:lang w:val="en-GB"/>
        </w:rPr>
      </w:pPr>
      <w:r w:rsidRPr="00F232A4">
        <w:rPr>
          <w:rFonts w:ascii="Palatino Linotype" w:eastAsiaTheme="majorEastAsia" w:hAnsi="Palatino Linotype" w:cstheme="majorBidi"/>
          <w:highlight w:val="cyan"/>
          <w:lang w:val="en-GB"/>
        </w:rPr>
        <w:t xml:space="preserve">Where there are no significant differences between the independent party transaction and a controlled transaction under comparable circumstances which could materially affect the </w:t>
      </w:r>
      <w:r w:rsidR="00C43CF1" w:rsidRPr="00F232A4">
        <w:rPr>
          <w:rFonts w:ascii="Palatino Linotype" w:eastAsiaTheme="majorEastAsia" w:hAnsi="Palatino Linotype" w:cstheme="majorBidi"/>
          <w:highlight w:val="cyan"/>
          <w:lang w:val="en-GB"/>
        </w:rPr>
        <w:t>factors</w:t>
      </w:r>
      <w:r w:rsidRPr="00F232A4">
        <w:rPr>
          <w:rFonts w:ascii="Palatino Linotype" w:eastAsiaTheme="majorEastAsia" w:hAnsi="Palatino Linotype" w:cstheme="majorBidi"/>
          <w:highlight w:val="cyan"/>
          <w:lang w:val="en-GB"/>
        </w:rPr>
        <w:t xml:space="preserve"> being examined under the appropriate transfer pricing method; or </w:t>
      </w:r>
    </w:p>
    <w:p w14:paraId="7BA47462" w14:textId="2D6B9B13" w:rsidR="00F31B58" w:rsidRPr="00F232A4" w:rsidRDefault="00F31B58" w:rsidP="00040A6D">
      <w:pPr>
        <w:pStyle w:val="ListParagraph"/>
        <w:numPr>
          <w:ilvl w:val="0"/>
          <w:numId w:val="23"/>
        </w:numPr>
        <w:spacing w:after="120"/>
        <w:ind w:left="1980" w:hanging="630"/>
        <w:contextualSpacing w:val="0"/>
        <w:jc w:val="both"/>
        <w:rPr>
          <w:rFonts w:ascii="Palatino Linotype" w:eastAsiaTheme="majorEastAsia" w:hAnsi="Palatino Linotype" w:cstheme="majorBidi"/>
          <w:highlight w:val="cyan"/>
          <w:lang w:val="en-GB"/>
        </w:rPr>
      </w:pPr>
      <w:r w:rsidRPr="00F232A4">
        <w:rPr>
          <w:rFonts w:ascii="Palatino Linotype" w:eastAsiaTheme="majorEastAsia" w:hAnsi="Palatino Linotype" w:cstheme="majorBidi"/>
          <w:highlight w:val="cyan"/>
          <w:lang w:val="en-GB"/>
        </w:rPr>
        <w:lastRenderedPageBreak/>
        <w:t xml:space="preserve">Where such differences exist, reasonable accurate adjustments can be made </w:t>
      </w:r>
      <w:proofErr w:type="gramStart"/>
      <w:r w:rsidRPr="00F232A4">
        <w:rPr>
          <w:rFonts w:ascii="Palatino Linotype" w:eastAsiaTheme="majorEastAsia" w:hAnsi="Palatino Linotype" w:cstheme="majorBidi"/>
          <w:highlight w:val="cyan"/>
          <w:lang w:val="en-GB"/>
        </w:rPr>
        <w:t>in order to</w:t>
      </w:r>
      <w:proofErr w:type="gramEnd"/>
      <w:r w:rsidRPr="00F232A4">
        <w:rPr>
          <w:rFonts w:ascii="Palatino Linotype" w:eastAsiaTheme="majorEastAsia" w:hAnsi="Palatino Linotype" w:cstheme="majorBidi"/>
          <w:highlight w:val="cyan"/>
          <w:lang w:val="en-GB"/>
        </w:rPr>
        <w:t xml:space="preserve"> eliminate the effects of such differences, to the extent that all material differences are eliminated.</w:t>
      </w:r>
    </w:p>
    <w:p w14:paraId="6D44F7B9" w14:textId="73314A5A" w:rsidR="00925D27" w:rsidRPr="00FF4ED6" w:rsidRDefault="009F354C" w:rsidP="00105FDD">
      <w:pPr>
        <w:pStyle w:val="Heading2"/>
        <w:numPr>
          <w:ilvl w:val="0"/>
          <w:numId w:val="1"/>
        </w:numPr>
        <w:tabs>
          <w:tab w:val="left" w:pos="630"/>
        </w:tabs>
        <w:spacing w:before="0" w:after="120"/>
        <w:ind w:left="720" w:hanging="720"/>
        <w:rPr>
          <w:rFonts w:ascii="Palatino Linotype" w:hAnsi="Palatino Linotype"/>
          <w:highlight w:val="cyan"/>
          <w:lang w:val="en-GB"/>
        </w:rPr>
      </w:pPr>
      <w:bookmarkStart w:id="9" w:name="_Toc136789321"/>
      <w:r w:rsidRPr="00FF4ED6">
        <w:rPr>
          <w:rFonts w:ascii="Palatino Linotype" w:hAnsi="Palatino Linotype"/>
          <w:color w:val="auto"/>
          <w:sz w:val="22"/>
          <w:szCs w:val="22"/>
          <w:highlight w:val="cyan"/>
          <w:lang w:val="en-GB"/>
        </w:rPr>
        <w:t>Comparability Analysis</w:t>
      </w:r>
      <w:bookmarkEnd w:id="9"/>
    </w:p>
    <w:p w14:paraId="7EA56168" w14:textId="55BE2E6C" w:rsidR="00625930" w:rsidRPr="00FF4ED6" w:rsidRDefault="00625930" w:rsidP="00040A6D">
      <w:pPr>
        <w:pStyle w:val="ListParagraph"/>
        <w:numPr>
          <w:ilvl w:val="0"/>
          <w:numId w:val="32"/>
        </w:numPr>
        <w:spacing w:after="120"/>
        <w:ind w:left="135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In performing a comparability analysis, to identify reliable comparables, taxpayer may follow the process detailed below.</w:t>
      </w:r>
    </w:p>
    <w:p w14:paraId="75C55C68" w14:textId="523CC2B6" w:rsidR="00625930" w:rsidRPr="00FF4ED6" w:rsidRDefault="00625930"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Determination of years to be covered in the analysis.</w:t>
      </w:r>
    </w:p>
    <w:p w14:paraId="3CDC7CD8" w14:textId="2ED85514" w:rsidR="00625930" w:rsidRPr="00FF4ED6" w:rsidRDefault="00625930"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Broad-based analysis of the taxpayer’s circumstances.</w:t>
      </w:r>
    </w:p>
    <w:p w14:paraId="3C44AC05" w14:textId="2536A9F9" w:rsidR="00625930" w:rsidRPr="00FF4ED6" w:rsidRDefault="00625930"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 xml:space="preserve">Understanding the controlled transaction(s) under examination, based in particular on a functional analysis, </w:t>
      </w:r>
      <w:proofErr w:type="gramStart"/>
      <w:r w:rsidRPr="00FF4ED6">
        <w:rPr>
          <w:rFonts w:ascii="Palatino Linotype" w:eastAsiaTheme="majorEastAsia" w:hAnsi="Palatino Linotype" w:cstheme="majorBidi"/>
          <w:highlight w:val="cyan"/>
          <w:lang w:val="en-GB"/>
        </w:rPr>
        <w:t>in order to</w:t>
      </w:r>
      <w:proofErr w:type="gramEnd"/>
      <w:r w:rsidRPr="00FF4ED6">
        <w:rPr>
          <w:rFonts w:ascii="Palatino Linotype" w:eastAsiaTheme="majorEastAsia" w:hAnsi="Palatino Linotype" w:cstheme="majorBidi"/>
          <w:highlight w:val="cyan"/>
          <w:lang w:val="en-GB"/>
        </w:rPr>
        <w:t xml:space="preserve"> choose the tested party (where needed), the most appropriate transfer pricing method to the circumstances of the case, the financial indicator that will be tested</w:t>
      </w:r>
      <w:r w:rsidR="00435CDA" w:rsidRPr="00FF4ED6">
        <w:rPr>
          <w:rFonts w:ascii="Palatino Linotype" w:eastAsiaTheme="majorEastAsia" w:hAnsi="Palatino Linotype" w:cstheme="majorBidi"/>
          <w:highlight w:val="cyan"/>
          <w:lang w:val="en-GB"/>
        </w:rPr>
        <w:t xml:space="preserve"> (in the case of a transactional profit method)</w:t>
      </w:r>
      <w:r w:rsidRPr="00FF4ED6">
        <w:rPr>
          <w:rFonts w:ascii="Palatino Linotype" w:eastAsiaTheme="majorEastAsia" w:hAnsi="Palatino Linotype" w:cstheme="majorBidi"/>
          <w:highlight w:val="cyan"/>
          <w:lang w:val="en-GB"/>
        </w:rPr>
        <w:t>, and to identify the significant comparability factors that should be taken into account.</w:t>
      </w:r>
    </w:p>
    <w:p w14:paraId="30212EBC" w14:textId="1B653D37" w:rsidR="00625930" w:rsidRPr="00FF4ED6" w:rsidRDefault="00625930"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Review of existing internal comparables, if any.</w:t>
      </w:r>
    </w:p>
    <w:p w14:paraId="15EA1DE8" w14:textId="299C417E" w:rsidR="00625930" w:rsidRPr="00FF4ED6" w:rsidRDefault="00625930"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Determination of available resources</w:t>
      </w:r>
      <w:r w:rsidR="003C06FF" w:rsidRPr="00FF4ED6">
        <w:rPr>
          <w:rFonts w:ascii="Palatino Linotype" w:eastAsiaTheme="majorEastAsia" w:hAnsi="Palatino Linotype" w:cstheme="majorBidi"/>
          <w:highlight w:val="cyan"/>
          <w:lang w:val="en-GB"/>
        </w:rPr>
        <w:t xml:space="preserve"> of information on external comparables where such external </w:t>
      </w:r>
      <w:proofErr w:type="spellStart"/>
      <w:r w:rsidR="00F25EB5" w:rsidRPr="00FF4ED6">
        <w:rPr>
          <w:rFonts w:ascii="Palatino Linotype" w:eastAsiaTheme="majorEastAsia" w:hAnsi="Palatino Linotype" w:cstheme="majorBidi"/>
          <w:highlight w:val="cyan"/>
          <w:lang w:val="en-GB"/>
        </w:rPr>
        <w:t>comparables</w:t>
      </w:r>
      <w:proofErr w:type="spellEnd"/>
      <w:r w:rsidR="00F25EB5" w:rsidRPr="00FF4ED6">
        <w:rPr>
          <w:rFonts w:ascii="Palatino Linotype" w:eastAsiaTheme="majorEastAsia" w:hAnsi="Palatino Linotype" w:cstheme="majorBidi"/>
          <w:highlight w:val="cyan"/>
          <w:lang w:val="en-GB"/>
        </w:rPr>
        <w:t xml:space="preserve"> are needed</w:t>
      </w:r>
      <w:r w:rsidR="00FF4ED6" w:rsidRPr="00FF4ED6">
        <w:rPr>
          <w:rFonts w:ascii="Palatino Linotype" w:eastAsiaTheme="majorEastAsia" w:hAnsi="Palatino Linotype" w:cstheme="majorBidi"/>
          <w:highlight w:val="cyan"/>
          <w:lang w:val="en-GB"/>
        </w:rPr>
        <w:t>,</w:t>
      </w:r>
      <w:r w:rsidR="00F25EB5" w:rsidRPr="00FF4ED6">
        <w:rPr>
          <w:rFonts w:ascii="Palatino Linotype" w:eastAsiaTheme="majorEastAsia" w:hAnsi="Palatino Linotype" w:cstheme="majorBidi"/>
          <w:highlight w:val="cyan"/>
          <w:lang w:val="en-GB"/>
        </w:rPr>
        <w:t xml:space="preserve"> </w:t>
      </w:r>
      <w:proofErr w:type="gramStart"/>
      <w:r w:rsidR="00F25EB5" w:rsidRPr="00FF4ED6">
        <w:rPr>
          <w:rFonts w:ascii="Palatino Linotype" w:eastAsiaTheme="majorEastAsia" w:hAnsi="Palatino Linotype" w:cstheme="majorBidi"/>
          <w:highlight w:val="cyan"/>
          <w:lang w:val="en-GB"/>
        </w:rPr>
        <w:t>taking into account</w:t>
      </w:r>
      <w:proofErr w:type="gramEnd"/>
      <w:r w:rsidR="00F25EB5" w:rsidRPr="00FF4ED6">
        <w:rPr>
          <w:rFonts w:ascii="Palatino Linotype" w:eastAsiaTheme="majorEastAsia" w:hAnsi="Palatino Linotype" w:cstheme="majorBidi"/>
          <w:highlight w:val="cyan"/>
          <w:lang w:val="en-GB"/>
        </w:rPr>
        <w:t xml:space="preserve"> their relative reliability.</w:t>
      </w:r>
    </w:p>
    <w:p w14:paraId="575C56D7" w14:textId="37314D38" w:rsidR="00F25EB5" w:rsidRPr="00FF4ED6" w:rsidRDefault="00F25EB5"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Selection of the most appropriate transfer pricing method</w:t>
      </w:r>
      <w:r w:rsidR="00A97252" w:rsidRPr="00FF4ED6">
        <w:rPr>
          <w:rFonts w:ascii="Palatino Linotype" w:eastAsiaTheme="majorEastAsia" w:hAnsi="Palatino Linotype" w:cstheme="majorBidi"/>
          <w:highlight w:val="cyan"/>
          <w:lang w:val="en-GB"/>
        </w:rPr>
        <w:t>, and depending on the method, determination of the relevant financial indicator.</w:t>
      </w:r>
    </w:p>
    <w:p w14:paraId="796C3A2D" w14:textId="044A4BE4" w:rsidR="00A97252" w:rsidRPr="00FF4ED6" w:rsidRDefault="00A97252"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Identification of potential comparables; determining the key characteristics to be met by any independent transaction in order to be regarded as potentially comparable, based on the relevant factors identified and in accordance with the comparability factors.</w:t>
      </w:r>
    </w:p>
    <w:p w14:paraId="314E2433" w14:textId="5099176A" w:rsidR="00A97252" w:rsidRPr="00FF4ED6" w:rsidRDefault="00A97252"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Determination of and making comparability adjustments where appropriate.</w:t>
      </w:r>
      <w:r w:rsidR="00AB4154" w:rsidRPr="00FF4ED6">
        <w:rPr>
          <w:rFonts w:ascii="Palatino Linotype" w:eastAsiaTheme="majorEastAsia" w:hAnsi="Palatino Linotype" w:cstheme="majorBidi"/>
          <w:highlight w:val="cyan"/>
          <w:lang w:val="en-GB"/>
        </w:rPr>
        <w:t xml:space="preserve"> Comparability adjustments may include adjustments for accounting consistency designed to eliminate differences that may arise from differing accounting practices between the controlled and independent transactions; segmentation of financial data to eliminate significant non-comparable transactions; adjustments for differences in capital, functions, </w:t>
      </w:r>
      <w:proofErr w:type="gramStart"/>
      <w:r w:rsidR="00AB4154" w:rsidRPr="00FF4ED6">
        <w:rPr>
          <w:rFonts w:ascii="Palatino Linotype" w:eastAsiaTheme="majorEastAsia" w:hAnsi="Palatino Linotype" w:cstheme="majorBidi"/>
          <w:highlight w:val="cyan"/>
          <w:lang w:val="en-GB"/>
        </w:rPr>
        <w:t>assets</w:t>
      </w:r>
      <w:proofErr w:type="gramEnd"/>
      <w:r w:rsidR="00FF4ED6" w:rsidRPr="00FF4ED6">
        <w:rPr>
          <w:rFonts w:ascii="Palatino Linotype" w:eastAsiaTheme="majorEastAsia" w:hAnsi="Palatino Linotype" w:cstheme="majorBidi"/>
          <w:highlight w:val="cyan"/>
          <w:lang w:val="en-GB"/>
        </w:rPr>
        <w:t xml:space="preserve"> and </w:t>
      </w:r>
      <w:r w:rsidR="00AB4154" w:rsidRPr="00FF4ED6">
        <w:rPr>
          <w:rFonts w:ascii="Palatino Linotype" w:eastAsiaTheme="majorEastAsia" w:hAnsi="Palatino Linotype" w:cstheme="majorBidi"/>
          <w:highlight w:val="cyan"/>
          <w:lang w:val="en-GB"/>
        </w:rPr>
        <w:t>risks.</w:t>
      </w:r>
    </w:p>
    <w:p w14:paraId="41B9D686" w14:textId="7DC90D1A" w:rsidR="00A97252" w:rsidRPr="00FF4ED6" w:rsidRDefault="00A97252" w:rsidP="00040A6D">
      <w:pPr>
        <w:pStyle w:val="ListParagraph"/>
        <w:numPr>
          <w:ilvl w:val="0"/>
          <w:numId w:val="26"/>
        </w:numPr>
        <w:spacing w:after="120"/>
        <w:ind w:left="198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 xml:space="preserve">Interpretation and use of data collected in determination of the arm’s length </w:t>
      </w:r>
      <w:r w:rsidR="00292749" w:rsidRPr="00FF4ED6">
        <w:rPr>
          <w:rFonts w:ascii="Palatino Linotype" w:eastAsiaTheme="majorEastAsia" w:hAnsi="Palatino Linotype" w:cstheme="majorBidi"/>
          <w:highlight w:val="cyan"/>
          <w:lang w:val="en-GB"/>
        </w:rPr>
        <w:t>price.</w:t>
      </w:r>
    </w:p>
    <w:p w14:paraId="471CFC10" w14:textId="2B4430A9" w:rsidR="00623A7D" w:rsidRPr="00FF4ED6" w:rsidRDefault="00623A7D" w:rsidP="00040A6D">
      <w:pPr>
        <w:pStyle w:val="ListParagraph"/>
        <w:numPr>
          <w:ilvl w:val="0"/>
          <w:numId w:val="32"/>
        </w:numPr>
        <w:spacing w:after="120"/>
        <w:ind w:left="1350" w:hanging="630"/>
        <w:contextualSpacing w:val="0"/>
        <w:jc w:val="both"/>
        <w:rPr>
          <w:rFonts w:ascii="Palatino Linotype" w:eastAsiaTheme="majorEastAsia" w:hAnsi="Palatino Linotype" w:cstheme="majorBidi"/>
          <w:highlight w:val="cyan"/>
          <w:lang w:val="en-GB"/>
        </w:rPr>
      </w:pPr>
      <w:r w:rsidRPr="00FF4ED6">
        <w:rPr>
          <w:rFonts w:ascii="Palatino Linotype" w:eastAsiaTheme="majorEastAsia" w:hAnsi="Palatino Linotype" w:cstheme="majorBidi"/>
          <w:highlight w:val="cyan"/>
          <w:lang w:val="en-GB"/>
        </w:rPr>
        <w:t xml:space="preserve">Where a taxpayer carries out, under the same or similar circumstances, two or more controlled transactions that are economically closely linked to one another </w:t>
      </w:r>
      <w:r w:rsidRPr="00FF4ED6">
        <w:rPr>
          <w:rFonts w:ascii="Palatino Linotype" w:eastAsiaTheme="majorEastAsia" w:hAnsi="Palatino Linotype" w:cstheme="majorBidi"/>
          <w:highlight w:val="cyan"/>
          <w:lang w:val="en-GB"/>
        </w:rPr>
        <w:lastRenderedPageBreak/>
        <w:t xml:space="preserve">or that form a continuum such that they cannot reliably be analysed separately, those transactions may be combined to perform the comparability analysis required by this section; and </w:t>
      </w:r>
      <w:r w:rsidR="00E5410A" w:rsidRPr="00FF4ED6">
        <w:rPr>
          <w:rFonts w:ascii="Palatino Linotype" w:eastAsiaTheme="majorEastAsia" w:hAnsi="Palatino Linotype" w:cstheme="majorBidi"/>
          <w:highlight w:val="cyan"/>
          <w:lang w:val="en-GB"/>
        </w:rPr>
        <w:t xml:space="preserve">to </w:t>
      </w:r>
      <w:r w:rsidRPr="00FF4ED6">
        <w:rPr>
          <w:rFonts w:ascii="Palatino Linotype" w:eastAsiaTheme="majorEastAsia" w:hAnsi="Palatino Linotype" w:cstheme="majorBidi"/>
          <w:highlight w:val="cyan"/>
          <w:lang w:val="en-GB"/>
        </w:rPr>
        <w:t xml:space="preserve">apply the transfer pricing methods set out in </w:t>
      </w:r>
      <w:r w:rsidR="00286CB6">
        <w:rPr>
          <w:rFonts w:ascii="Palatino Linotype" w:eastAsiaTheme="majorEastAsia" w:hAnsi="Palatino Linotype" w:cstheme="majorBidi"/>
          <w:highlight w:val="cyan"/>
          <w:lang w:val="en-GB"/>
        </w:rPr>
        <w:t>S</w:t>
      </w:r>
      <w:r w:rsidRPr="00FF4ED6">
        <w:rPr>
          <w:rFonts w:ascii="Palatino Linotype" w:eastAsiaTheme="majorEastAsia" w:hAnsi="Palatino Linotype" w:cstheme="majorBidi"/>
          <w:highlight w:val="cyan"/>
          <w:lang w:val="en-GB"/>
        </w:rPr>
        <w:t xml:space="preserve">ection 6 of this </w:t>
      </w:r>
      <w:r w:rsidR="00286CB6">
        <w:rPr>
          <w:rFonts w:ascii="Palatino Linotype" w:eastAsiaTheme="majorEastAsia" w:hAnsi="Palatino Linotype" w:cstheme="majorBidi"/>
          <w:highlight w:val="cyan"/>
          <w:lang w:val="en-GB"/>
        </w:rPr>
        <w:t>R</w:t>
      </w:r>
      <w:r w:rsidRPr="00FF4ED6">
        <w:rPr>
          <w:rFonts w:ascii="Palatino Linotype" w:eastAsiaTheme="majorEastAsia" w:hAnsi="Palatino Linotype" w:cstheme="majorBidi"/>
          <w:highlight w:val="cyan"/>
          <w:lang w:val="en-GB"/>
        </w:rPr>
        <w:t>egulation.</w:t>
      </w:r>
    </w:p>
    <w:p w14:paraId="3644C390" w14:textId="77777777" w:rsidR="00502339" w:rsidRPr="00321931" w:rsidRDefault="00502339" w:rsidP="00105FDD">
      <w:pPr>
        <w:pStyle w:val="ListParagraph"/>
        <w:spacing w:after="120"/>
        <w:ind w:left="1080"/>
        <w:contextualSpacing w:val="0"/>
        <w:jc w:val="both"/>
        <w:rPr>
          <w:rFonts w:ascii="Palatino Linotype" w:eastAsiaTheme="majorEastAsia" w:hAnsi="Palatino Linotype" w:cstheme="majorBidi"/>
          <w:lang w:val="en-GB"/>
        </w:rPr>
      </w:pPr>
    </w:p>
    <w:p w14:paraId="234B7DF8" w14:textId="13E7B71E" w:rsidR="00BF3A65" w:rsidRPr="00870D48" w:rsidRDefault="00BF3A65" w:rsidP="00105FDD">
      <w:pPr>
        <w:pStyle w:val="Heading2"/>
        <w:numPr>
          <w:ilvl w:val="0"/>
          <w:numId w:val="1"/>
        </w:numPr>
        <w:tabs>
          <w:tab w:val="left" w:pos="630"/>
        </w:tabs>
        <w:spacing w:before="0" w:after="120"/>
        <w:ind w:left="720" w:hanging="720"/>
        <w:rPr>
          <w:rFonts w:ascii="Palatino Linotype" w:hAnsi="Palatino Linotype"/>
          <w:b w:val="0"/>
          <w:bCs w:val="0"/>
          <w:lang w:val="en-GB"/>
        </w:rPr>
      </w:pPr>
      <w:bookmarkStart w:id="10" w:name="_Toc136789322"/>
      <w:r w:rsidRPr="00870D48">
        <w:rPr>
          <w:rFonts w:ascii="Palatino Linotype" w:hAnsi="Palatino Linotype"/>
          <w:color w:val="auto"/>
          <w:sz w:val="22"/>
          <w:szCs w:val="22"/>
          <w:lang w:val="en-GB"/>
        </w:rPr>
        <w:t>Transfer pricing methods</w:t>
      </w:r>
      <w:bookmarkEnd w:id="10"/>
    </w:p>
    <w:p w14:paraId="1FE184EB" w14:textId="7485CDCF" w:rsidR="00BF3A65" w:rsidRPr="00321931" w:rsidRDefault="00302A6E" w:rsidP="00040A6D">
      <w:pPr>
        <w:pStyle w:val="ListParagraph"/>
        <w:numPr>
          <w:ilvl w:val="0"/>
          <w:numId w:val="13"/>
        </w:numPr>
        <w:spacing w:after="120"/>
        <w:ind w:left="1350" w:hanging="63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The arm’s length price of a controlled transaction shall be determined using the following t</w:t>
      </w:r>
      <w:r w:rsidR="00BF3A65" w:rsidRPr="00321931">
        <w:rPr>
          <w:rFonts w:ascii="Palatino Linotype" w:eastAsiaTheme="minorEastAsia" w:hAnsi="Palatino Linotype" w:cstheme="majorBidi"/>
          <w:lang w:val="en-US"/>
        </w:rPr>
        <w:t>ransfer pricing methods</w:t>
      </w:r>
      <w:r w:rsidRPr="00321931">
        <w:rPr>
          <w:rFonts w:ascii="Palatino Linotype" w:eastAsiaTheme="minorEastAsia" w:hAnsi="Palatino Linotype" w:cstheme="majorBidi"/>
          <w:lang w:val="en-US"/>
        </w:rPr>
        <w:t>:</w:t>
      </w:r>
    </w:p>
    <w:p w14:paraId="29B4DF26" w14:textId="50F3FA24" w:rsidR="00BF3A65" w:rsidRPr="00321931" w:rsidRDefault="00BF3A65" w:rsidP="00040A6D">
      <w:pPr>
        <w:pStyle w:val="ListParagraph"/>
        <w:numPr>
          <w:ilvl w:val="0"/>
          <w:numId w:val="16"/>
        </w:numPr>
        <w:spacing w:after="120"/>
        <w:ind w:left="1890" w:hanging="54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Comparable Uncontrolled Price (CUP) Method: A transfer price method that compares the price for property or services transferred in a controlled transaction to the price charged for property or services </w:t>
      </w:r>
      <w:r w:rsidRPr="00870D48">
        <w:rPr>
          <w:rFonts w:ascii="Palatino Linotype" w:eastAsiaTheme="minorEastAsia" w:hAnsi="Palatino Linotype" w:cstheme="majorBidi"/>
          <w:highlight w:val="cyan"/>
          <w:lang w:val="en-US"/>
        </w:rPr>
        <w:t xml:space="preserve">transferred in a comparable </w:t>
      </w:r>
      <w:r w:rsidR="00990B49" w:rsidRPr="00870D48">
        <w:rPr>
          <w:rFonts w:ascii="Palatino Linotype" w:eastAsiaTheme="minorEastAsia" w:hAnsi="Palatino Linotype" w:cstheme="majorBidi"/>
          <w:highlight w:val="cyan"/>
          <w:lang w:val="en-US"/>
        </w:rPr>
        <w:t>independent party</w:t>
      </w:r>
      <w:r w:rsidRPr="00870D48">
        <w:rPr>
          <w:rFonts w:ascii="Palatino Linotype" w:eastAsiaTheme="minorEastAsia" w:hAnsi="Palatino Linotype" w:cstheme="majorBidi"/>
          <w:highlight w:val="cyan"/>
          <w:lang w:val="en-US"/>
        </w:rPr>
        <w:t xml:space="preserve"> transaction</w:t>
      </w:r>
      <w:r w:rsidRPr="00321931">
        <w:rPr>
          <w:rFonts w:ascii="Palatino Linotype" w:eastAsiaTheme="minorEastAsia" w:hAnsi="Palatino Linotype" w:cstheme="majorBidi"/>
          <w:lang w:val="en-US"/>
        </w:rPr>
        <w:t xml:space="preserve"> in comparable </w:t>
      </w:r>
      <w:proofErr w:type="gramStart"/>
      <w:r w:rsidRPr="00321931">
        <w:rPr>
          <w:rFonts w:ascii="Palatino Linotype" w:eastAsiaTheme="minorEastAsia" w:hAnsi="Palatino Linotype" w:cstheme="majorBidi"/>
          <w:lang w:val="en-US"/>
        </w:rPr>
        <w:t>circumstances;</w:t>
      </w:r>
      <w:proofErr w:type="gramEnd"/>
    </w:p>
    <w:p w14:paraId="1AE17BFD" w14:textId="1159A1DB" w:rsidR="00BF3A65" w:rsidRPr="00321931" w:rsidRDefault="00BF3A65" w:rsidP="00040A6D">
      <w:pPr>
        <w:pStyle w:val="ListParagraph"/>
        <w:numPr>
          <w:ilvl w:val="0"/>
          <w:numId w:val="16"/>
        </w:numPr>
        <w:spacing w:after="120"/>
        <w:ind w:left="1890" w:hanging="54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Cost Plus Method: A transfer pricing method using the costs incurred by the supplier of property (or services) in a controlled transaction. An appropriate </w:t>
      </w:r>
      <w:proofErr w:type="gramStart"/>
      <w:r w:rsidRPr="00321931">
        <w:rPr>
          <w:rFonts w:ascii="Palatino Linotype" w:eastAsiaTheme="minorEastAsia" w:hAnsi="Palatino Linotype" w:cstheme="majorBidi"/>
          <w:lang w:val="en-US"/>
        </w:rPr>
        <w:t>cost</w:t>
      </w:r>
      <w:r w:rsidR="00870D48">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plus</w:t>
      </w:r>
      <w:proofErr w:type="gramEnd"/>
      <w:r w:rsidRPr="00321931">
        <w:rPr>
          <w:rFonts w:ascii="Palatino Linotype" w:eastAsiaTheme="minorEastAsia" w:hAnsi="Palatino Linotype" w:cstheme="majorBidi"/>
          <w:lang w:val="en-US"/>
        </w:rPr>
        <w:t xml:space="preserve"> mark-up is added to this cost, to make an appropriate profit in light of the functions performed (taking into account assets used and risks assumed) and the market conditions. What is arrived at after adding the </w:t>
      </w:r>
      <w:proofErr w:type="gramStart"/>
      <w:r w:rsidRPr="00321931">
        <w:rPr>
          <w:rFonts w:ascii="Palatino Linotype" w:eastAsiaTheme="minorEastAsia" w:hAnsi="Palatino Linotype" w:cstheme="majorBidi"/>
          <w:lang w:val="en-US"/>
        </w:rPr>
        <w:t>cost plus</w:t>
      </w:r>
      <w:proofErr w:type="gramEnd"/>
      <w:r w:rsidRPr="00321931">
        <w:rPr>
          <w:rFonts w:ascii="Palatino Linotype" w:eastAsiaTheme="minorEastAsia" w:hAnsi="Palatino Linotype" w:cstheme="majorBidi"/>
          <w:lang w:val="en-US"/>
        </w:rPr>
        <w:t xml:space="preserve"> mark up to the above costs may be regarded as arm’s length price of the original controlled transaction;</w:t>
      </w:r>
    </w:p>
    <w:p w14:paraId="575E61D0" w14:textId="2B1AB48E" w:rsidR="00BF3A65" w:rsidRPr="00321931" w:rsidRDefault="00BF3A65" w:rsidP="00040A6D">
      <w:pPr>
        <w:pStyle w:val="ListParagraph"/>
        <w:numPr>
          <w:ilvl w:val="0"/>
          <w:numId w:val="16"/>
        </w:numPr>
        <w:spacing w:after="120"/>
        <w:ind w:left="1890" w:hanging="54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Resale Price Method: A transfer pricing method based on the price at which a product that has been purchased from a</w:t>
      </w:r>
      <w:r w:rsidR="00F779B0">
        <w:rPr>
          <w:rFonts w:ascii="Palatino Linotype" w:eastAsiaTheme="minorEastAsia" w:hAnsi="Palatino Linotype" w:cstheme="majorBidi"/>
          <w:lang w:val="en-US"/>
        </w:rPr>
        <w:t>n</w:t>
      </w:r>
      <w:r w:rsidRPr="00321931">
        <w:rPr>
          <w:rFonts w:ascii="Palatino Linotype" w:eastAsiaTheme="minorEastAsia" w:hAnsi="Palatino Linotype" w:cstheme="majorBidi"/>
          <w:lang w:val="en-US"/>
        </w:rPr>
        <w:t xml:space="preserve"> associated party is resold to an </w:t>
      </w:r>
      <w:r w:rsidRPr="00F779B0">
        <w:rPr>
          <w:rFonts w:ascii="Palatino Linotype" w:eastAsiaTheme="minorEastAsia" w:hAnsi="Palatino Linotype" w:cstheme="majorBidi"/>
          <w:highlight w:val="cyan"/>
          <w:lang w:val="en-US"/>
        </w:rPr>
        <w:t xml:space="preserve">independent </w:t>
      </w:r>
      <w:r w:rsidR="00990B49" w:rsidRPr="00F779B0">
        <w:rPr>
          <w:rFonts w:ascii="Palatino Linotype" w:eastAsiaTheme="minorEastAsia" w:hAnsi="Palatino Linotype" w:cstheme="majorBidi"/>
          <w:highlight w:val="cyan"/>
          <w:lang w:val="en-US"/>
        </w:rPr>
        <w:t>party</w:t>
      </w:r>
      <w:r w:rsidRPr="00321931">
        <w:rPr>
          <w:rFonts w:ascii="Palatino Linotype" w:eastAsiaTheme="minorEastAsia" w:hAnsi="Palatino Linotype" w:cstheme="majorBidi"/>
          <w:lang w:val="en-US"/>
        </w:rPr>
        <w:t>. The resale price is reduced by the resale price margin. What is left after subtracting the resale price margin can be regarded, after adjustments for other costs associated with the purchase of the product (</w:t>
      </w:r>
      <w:proofErr w:type="gramStart"/>
      <w:r w:rsidRPr="00321931">
        <w:rPr>
          <w:rFonts w:ascii="Palatino Linotype" w:eastAsiaTheme="minorEastAsia" w:hAnsi="Palatino Linotype" w:cstheme="majorBidi"/>
          <w:lang w:val="en-US"/>
        </w:rPr>
        <w:t>e.g.</w:t>
      </w:r>
      <w:proofErr w:type="gramEnd"/>
      <w:r w:rsidRPr="00321931">
        <w:rPr>
          <w:rFonts w:ascii="Palatino Linotype" w:eastAsiaTheme="minorEastAsia" w:hAnsi="Palatino Linotype" w:cstheme="majorBidi"/>
          <w:lang w:val="en-US"/>
        </w:rPr>
        <w:t xml:space="preserve"> custom duties), as an arm’s length price of the original transfer of property between the associated parties;</w:t>
      </w:r>
    </w:p>
    <w:p w14:paraId="5ADB5EA6" w14:textId="791855AF" w:rsidR="00BF3A65" w:rsidRPr="00321931" w:rsidRDefault="00625930" w:rsidP="00040A6D">
      <w:pPr>
        <w:pStyle w:val="ListParagraph"/>
        <w:numPr>
          <w:ilvl w:val="0"/>
          <w:numId w:val="16"/>
        </w:numPr>
        <w:spacing w:after="120"/>
        <w:ind w:left="1890" w:hanging="544"/>
        <w:contextualSpacing w:val="0"/>
        <w:jc w:val="both"/>
        <w:rPr>
          <w:rFonts w:ascii="Palatino Linotype" w:eastAsiaTheme="minorEastAsia" w:hAnsi="Palatino Linotype" w:cstheme="majorBidi"/>
          <w:lang w:val="en-US"/>
        </w:rPr>
      </w:pPr>
      <w:r w:rsidRPr="00F779B0">
        <w:rPr>
          <w:rFonts w:ascii="Palatino Linotype" w:eastAsiaTheme="minorEastAsia" w:hAnsi="Palatino Linotype" w:cstheme="majorBidi"/>
          <w:highlight w:val="cyan"/>
          <w:lang w:val="en-US"/>
        </w:rPr>
        <w:t xml:space="preserve">Transactional </w:t>
      </w:r>
      <w:r w:rsidR="00BF3A65" w:rsidRPr="00F779B0">
        <w:rPr>
          <w:rFonts w:ascii="Palatino Linotype" w:eastAsiaTheme="minorEastAsia" w:hAnsi="Palatino Linotype" w:cstheme="majorBidi"/>
          <w:highlight w:val="cyan"/>
          <w:lang w:val="en-US"/>
        </w:rPr>
        <w:t>Profit Split Method:</w:t>
      </w:r>
      <w:r w:rsidR="00BF3A65" w:rsidRPr="00321931">
        <w:rPr>
          <w:rFonts w:ascii="Palatino Linotype" w:eastAsiaTheme="minorEastAsia" w:hAnsi="Palatino Linotype" w:cstheme="majorBidi"/>
          <w:lang w:val="en-US"/>
        </w:rPr>
        <w:t xml:space="preserve"> A transactional profit method that identifies the combined profit to be split for the associated parties from a controlled transaction and then split those profits between the associated parties based upon an economically valid basis that approximates the division of profits that would have been anticipated and reflected in an agreement made at arm’s </w:t>
      </w:r>
      <w:proofErr w:type="gramStart"/>
      <w:r w:rsidR="00BF3A65" w:rsidRPr="00321931">
        <w:rPr>
          <w:rFonts w:ascii="Palatino Linotype" w:eastAsiaTheme="minorEastAsia" w:hAnsi="Palatino Linotype" w:cstheme="majorBidi"/>
          <w:lang w:val="en-US"/>
        </w:rPr>
        <w:t>length;</w:t>
      </w:r>
      <w:proofErr w:type="gramEnd"/>
    </w:p>
    <w:p w14:paraId="2CCAEA56" w14:textId="717054BB" w:rsidR="00BF3A65" w:rsidRPr="00321931" w:rsidRDefault="00BF3A65" w:rsidP="00040A6D">
      <w:pPr>
        <w:pStyle w:val="ListParagraph"/>
        <w:numPr>
          <w:ilvl w:val="0"/>
          <w:numId w:val="16"/>
        </w:numPr>
        <w:spacing w:after="120"/>
        <w:ind w:left="1890" w:hanging="54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Transactional Net Margin Method: A transactional profit method that examines the net profit margin relative to an appropriate base (</w:t>
      </w:r>
      <w:r w:rsidR="00CC3DE8" w:rsidRPr="00321931">
        <w:rPr>
          <w:rFonts w:ascii="Palatino Linotype" w:eastAsiaTheme="minorEastAsia" w:hAnsi="Palatino Linotype" w:cstheme="majorBidi"/>
          <w:lang w:val="en-US"/>
        </w:rPr>
        <w:t>e.g.,</w:t>
      </w:r>
      <w:r w:rsidRPr="00321931">
        <w:rPr>
          <w:rFonts w:ascii="Palatino Linotype" w:eastAsiaTheme="minorEastAsia" w:hAnsi="Palatino Linotype" w:cstheme="majorBidi"/>
          <w:lang w:val="en-US"/>
        </w:rPr>
        <w:t xml:space="preserve"> costs, sales, assets) that a taxpayer realizes from a controlled </w:t>
      </w:r>
      <w:proofErr w:type="gramStart"/>
      <w:r w:rsidRPr="00321931">
        <w:rPr>
          <w:rFonts w:ascii="Palatino Linotype" w:eastAsiaTheme="minorEastAsia" w:hAnsi="Palatino Linotype" w:cstheme="majorBidi"/>
          <w:lang w:val="en-US"/>
        </w:rPr>
        <w:t>transaction;</w:t>
      </w:r>
      <w:proofErr w:type="gramEnd"/>
    </w:p>
    <w:p w14:paraId="7F8CAB85" w14:textId="2289AACF" w:rsidR="00BF3A65" w:rsidRPr="00F779B0" w:rsidRDefault="00BF3A65" w:rsidP="00040A6D">
      <w:pPr>
        <w:pStyle w:val="ListParagraph"/>
        <w:numPr>
          <w:ilvl w:val="0"/>
          <w:numId w:val="16"/>
        </w:numPr>
        <w:spacing w:after="120"/>
        <w:ind w:left="1890" w:hanging="544"/>
        <w:contextualSpacing w:val="0"/>
        <w:jc w:val="both"/>
        <w:rPr>
          <w:rFonts w:ascii="Palatino Linotype" w:eastAsiaTheme="minorEastAsia" w:hAnsi="Palatino Linotype" w:cstheme="majorBidi"/>
          <w:highlight w:val="cyan"/>
          <w:lang w:val="en-US"/>
        </w:rPr>
      </w:pPr>
      <w:r w:rsidRPr="00F779B0">
        <w:rPr>
          <w:rFonts w:ascii="Palatino Linotype" w:eastAsiaTheme="minorEastAsia" w:hAnsi="Palatino Linotype" w:cstheme="majorBidi"/>
          <w:highlight w:val="cyan"/>
          <w:lang w:val="en-US"/>
        </w:rPr>
        <w:t>Other such method: A method</w:t>
      </w:r>
      <w:r w:rsidR="000F0577" w:rsidRPr="00F779B0">
        <w:rPr>
          <w:rFonts w:ascii="Palatino Linotype" w:eastAsiaTheme="minorEastAsia" w:hAnsi="Palatino Linotype" w:cstheme="majorBidi"/>
          <w:highlight w:val="cyan"/>
          <w:lang w:val="en-US"/>
        </w:rPr>
        <w:t xml:space="preserve"> </w:t>
      </w:r>
      <w:r w:rsidRPr="00F779B0">
        <w:rPr>
          <w:rFonts w:ascii="Palatino Linotype" w:eastAsiaTheme="minorEastAsia" w:hAnsi="Palatino Linotype" w:cstheme="majorBidi"/>
          <w:highlight w:val="cyan"/>
          <w:lang w:val="en-US"/>
        </w:rPr>
        <w:t xml:space="preserve">that </w:t>
      </w:r>
      <w:proofErr w:type="gramStart"/>
      <w:r w:rsidRPr="00F779B0">
        <w:rPr>
          <w:rFonts w:ascii="Palatino Linotype" w:eastAsiaTheme="minorEastAsia" w:hAnsi="Palatino Linotype" w:cstheme="majorBidi"/>
          <w:highlight w:val="cyan"/>
          <w:lang w:val="en-US"/>
        </w:rPr>
        <w:t>takes into account</w:t>
      </w:r>
      <w:proofErr w:type="gramEnd"/>
      <w:r w:rsidRPr="00F779B0">
        <w:rPr>
          <w:rFonts w:ascii="Palatino Linotype" w:eastAsiaTheme="minorEastAsia" w:hAnsi="Palatino Linotype" w:cstheme="majorBidi"/>
          <w:highlight w:val="cyan"/>
          <w:lang w:val="en-US"/>
        </w:rPr>
        <w:t xml:space="preserve"> the price paid or payable in comparable circumstances to an independent party in </w:t>
      </w:r>
      <w:r w:rsidRPr="00F779B0">
        <w:rPr>
          <w:rFonts w:ascii="Palatino Linotype" w:eastAsiaTheme="minorEastAsia" w:hAnsi="Palatino Linotype" w:cstheme="majorBidi"/>
          <w:highlight w:val="cyan"/>
          <w:lang w:val="en-US"/>
        </w:rPr>
        <w:lastRenderedPageBreak/>
        <w:t>comparable circumstances, considering all the relevant facts.</w:t>
      </w:r>
      <w:r w:rsidR="00C700E3" w:rsidRPr="00F779B0">
        <w:rPr>
          <w:rFonts w:ascii="Palatino Linotype" w:eastAsiaTheme="minorEastAsia" w:hAnsi="Palatino Linotype" w:cstheme="majorBidi"/>
          <w:highlight w:val="cyan"/>
          <w:lang w:val="en-US"/>
        </w:rPr>
        <w:t xml:space="preserve"> Such other methods should however not be used in substitution for methods specified in sub</w:t>
      </w:r>
      <w:r w:rsidR="00F779B0" w:rsidRPr="00F779B0">
        <w:rPr>
          <w:rFonts w:ascii="Palatino Linotype" w:eastAsiaTheme="minorEastAsia" w:hAnsi="Palatino Linotype" w:cstheme="majorBidi"/>
          <w:highlight w:val="cyan"/>
          <w:lang w:val="en-US"/>
        </w:rPr>
        <w:t>s</w:t>
      </w:r>
      <w:r w:rsidR="00C700E3" w:rsidRPr="00F779B0">
        <w:rPr>
          <w:rFonts w:ascii="Palatino Linotype" w:eastAsiaTheme="minorEastAsia" w:hAnsi="Palatino Linotype" w:cstheme="majorBidi"/>
          <w:highlight w:val="cyan"/>
          <w:lang w:val="en-US"/>
        </w:rPr>
        <w:t>ection (a) (1) to (5) where the latter are more appropriate to the facts and circumstances of the case. In cases where other methods are used, their selection should be supported by an explanation of why methods specified in subsection (a) (1) to (5) were regarded as less appropriate or nonworkable in the circumstances of the case and of the reason why the selected other method was regarded as providing a better solution.</w:t>
      </w:r>
    </w:p>
    <w:p w14:paraId="231E7312" w14:textId="77777777" w:rsidR="00302A6E" w:rsidRPr="00321931" w:rsidRDefault="00302A6E" w:rsidP="00105FDD">
      <w:pPr>
        <w:pStyle w:val="ListParagraph"/>
        <w:spacing w:after="120"/>
        <w:ind w:left="1890"/>
        <w:contextualSpacing w:val="0"/>
        <w:jc w:val="both"/>
        <w:rPr>
          <w:rFonts w:ascii="Palatino Linotype" w:eastAsiaTheme="minorEastAsia" w:hAnsi="Palatino Linotype" w:cstheme="majorBidi"/>
          <w:lang w:val="en-US"/>
        </w:rPr>
      </w:pPr>
    </w:p>
    <w:p w14:paraId="2F9DACB5" w14:textId="44E055A0" w:rsidR="00925D27" w:rsidRPr="0075057A" w:rsidRDefault="00990B49" w:rsidP="00105FDD">
      <w:pPr>
        <w:pStyle w:val="Heading2"/>
        <w:numPr>
          <w:ilvl w:val="0"/>
          <w:numId w:val="1"/>
        </w:numPr>
        <w:tabs>
          <w:tab w:val="left" w:pos="630"/>
        </w:tabs>
        <w:spacing w:before="0" w:after="120"/>
        <w:ind w:left="720" w:hanging="720"/>
        <w:rPr>
          <w:rFonts w:ascii="Palatino Linotype" w:hAnsi="Palatino Linotype"/>
          <w:color w:val="auto"/>
          <w:sz w:val="22"/>
          <w:szCs w:val="22"/>
          <w:highlight w:val="cyan"/>
          <w:lang w:val="en-GB"/>
        </w:rPr>
      </w:pPr>
      <w:bookmarkStart w:id="11" w:name="_Toc136789323"/>
      <w:r w:rsidRPr="0075057A">
        <w:rPr>
          <w:rFonts w:ascii="Palatino Linotype" w:hAnsi="Palatino Linotype"/>
          <w:color w:val="auto"/>
          <w:sz w:val="22"/>
          <w:szCs w:val="22"/>
          <w:highlight w:val="cyan"/>
          <w:lang w:val="en-GB"/>
        </w:rPr>
        <w:t xml:space="preserve">Selection of the </w:t>
      </w:r>
      <w:r w:rsidR="00FD3CF5" w:rsidRPr="0075057A">
        <w:rPr>
          <w:rFonts w:ascii="Palatino Linotype" w:hAnsi="Palatino Linotype"/>
          <w:color w:val="auto"/>
          <w:sz w:val="22"/>
          <w:szCs w:val="22"/>
          <w:highlight w:val="cyan"/>
          <w:lang w:val="en-GB"/>
        </w:rPr>
        <w:t>m</w:t>
      </w:r>
      <w:r w:rsidR="00925D27" w:rsidRPr="0075057A">
        <w:rPr>
          <w:rFonts w:ascii="Palatino Linotype" w:hAnsi="Palatino Linotype"/>
          <w:color w:val="auto"/>
          <w:sz w:val="22"/>
          <w:szCs w:val="22"/>
          <w:highlight w:val="cyan"/>
          <w:lang w:val="en-GB"/>
        </w:rPr>
        <w:t xml:space="preserve">ost </w:t>
      </w:r>
      <w:r w:rsidR="00FD3CF5" w:rsidRPr="0075057A">
        <w:rPr>
          <w:rFonts w:ascii="Palatino Linotype" w:hAnsi="Palatino Linotype"/>
          <w:color w:val="auto"/>
          <w:sz w:val="22"/>
          <w:szCs w:val="22"/>
          <w:highlight w:val="cyan"/>
          <w:lang w:val="en-GB"/>
        </w:rPr>
        <w:t>a</w:t>
      </w:r>
      <w:r w:rsidR="00925D27" w:rsidRPr="0075057A">
        <w:rPr>
          <w:rFonts w:ascii="Palatino Linotype" w:hAnsi="Palatino Linotype"/>
          <w:color w:val="auto"/>
          <w:sz w:val="22"/>
          <w:szCs w:val="22"/>
          <w:highlight w:val="cyan"/>
          <w:lang w:val="en-GB"/>
        </w:rPr>
        <w:t xml:space="preserve">ppropriate </w:t>
      </w:r>
      <w:r w:rsidR="00FD3CF5" w:rsidRPr="0075057A">
        <w:rPr>
          <w:rFonts w:ascii="Palatino Linotype" w:hAnsi="Palatino Linotype"/>
          <w:color w:val="auto"/>
          <w:sz w:val="22"/>
          <w:szCs w:val="22"/>
          <w:highlight w:val="cyan"/>
          <w:lang w:val="en-GB"/>
        </w:rPr>
        <w:t>m</w:t>
      </w:r>
      <w:r w:rsidR="00925D27" w:rsidRPr="0075057A">
        <w:rPr>
          <w:rFonts w:ascii="Palatino Linotype" w:hAnsi="Palatino Linotype"/>
          <w:color w:val="auto"/>
          <w:sz w:val="22"/>
          <w:szCs w:val="22"/>
          <w:highlight w:val="cyan"/>
          <w:lang w:val="en-GB"/>
        </w:rPr>
        <w:t>ethod</w:t>
      </w:r>
      <w:r w:rsidR="00A50B2F" w:rsidRPr="0075057A">
        <w:rPr>
          <w:rFonts w:ascii="Palatino Linotype" w:hAnsi="Palatino Linotype"/>
          <w:color w:val="auto"/>
          <w:sz w:val="22"/>
          <w:szCs w:val="22"/>
          <w:highlight w:val="cyan"/>
          <w:lang w:val="en-GB"/>
        </w:rPr>
        <w:t>(s)</w:t>
      </w:r>
      <w:bookmarkEnd w:id="11"/>
    </w:p>
    <w:p w14:paraId="2F27B374" w14:textId="654FAA12" w:rsidR="00925D27" w:rsidRPr="0075057A" w:rsidRDefault="00C2723E" w:rsidP="00040A6D">
      <w:pPr>
        <w:pStyle w:val="ListParagraph"/>
        <w:numPr>
          <w:ilvl w:val="0"/>
          <w:numId w:val="17"/>
        </w:numPr>
        <w:spacing w:after="120"/>
        <w:ind w:left="1350" w:hanging="630"/>
        <w:contextualSpacing w:val="0"/>
        <w:jc w:val="both"/>
        <w:rPr>
          <w:rFonts w:ascii="Palatino Linotype" w:eastAsiaTheme="minorEastAsia" w:hAnsi="Palatino Linotype" w:cstheme="majorBidi"/>
          <w:highlight w:val="cyan"/>
          <w:lang w:val="en-US"/>
        </w:rPr>
      </w:pPr>
      <w:r w:rsidRPr="0075057A">
        <w:rPr>
          <w:rFonts w:ascii="Palatino Linotype" w:eastAsiaTheme="minorEastAsia" w:hAnsi="Palatino Linotype" w:cstheme="majorBidi"/>
          <w:highlight w:val="cyan"/>
          <w:lang w:val="en-US"/>
        </w:rPr>
        <w:t xml:space="preserve">In identifying the arm’s length price, </w:t>
      </w:r>
      <w:r w:rsidR="0075057A" w:rsidRPr="0075057A">
        <w:rPr>
          <w:rFonts w:ascii="Palatino Linotype" w:eastAsiaTheme="minorEastAsia" w:hAnsi="Palatino Linotype" w:cstheme="majorBidi"/>
          <w:highlight w:val="cyan"/>
          <w:lang w:val="en-US"/>
        </w:rPr>
        <w:t xml:space="preserve">the taxpayer shall </w:t>
      </w:r>
      <w:r w:rsidRPr="0075057A">
        <w:rPr>
          <w:rFonts w:ascii="Palatino Linotype" w:eastAsiaTheme="minorEastAsia" w:hAnsi="Palatino Linotype" w:cstheme="majorBidi"/>
          <w:highlight w:val="cyan"/>
          <w:lang w:val="en-US"/>
        </w:rPr>
        <w:t>use the method or the combination of methods, that is the most appropriate and reliable, having regard to all the relevant factors including the following:</w:t>
      </w:r>
    </w:p>
    <w:p w14:paraId="2A68D202" w14:textId="0250E140" w:rsidR="00C2723E" w:rsidRPr="0075057A" w:rsidRDefault="00C2723E" w:rsidP="00040A6D">
      <w:pPr>
        <w:pStyle w:val="ListParagraph"/>
        <w:numPr>
          <w:ilvl w:val="0"/>
          <w:numId w:val="18"/>
        </w:numPr>
        <w:spacing w:after="120"/>
        <w:ind w:left="1890" w:hanging="540"/>
        <w:contextualSpacing w:val="0"/>
        <w:jc w:val="both"/>
        <w:rPr>
          <w:rFonts w:ascii="Palatino Linotype" w:eastAsiaTheme="minorEastAsia" w:hAnsi="Palatino Linotype" w:cstheme="majorBidi"/>
          <w:highlight w:val="cyan"/>
          <w:lang w:val="en-US"/>
        </w:rPr>
      </w:pPr>
      <w:r w:rsidRPr="0075057A">
        <w:rPr>
          <w:rFonts w:ascii="Palatino Linotype" w:eastAsiaTheme="minorEastAsia" w:hAnsi="Palatino Linotype" w:cstheme="majorBidi"/>
          <w:highlight w:val="cyan"/>
          <w:lang w:val="en-US"/>
        </w:rPr>
        <w:t xml:space="preserve">The respective strengths and weaknesses of the possible methods in their application to the actual </w:t>
      </w:r>
      <w:proofErr w:type="gramStart"/>
      <w:r w:rsidRPr="0075057A">
        <w:rPr>
          <w:rFonts w:ascii="Palatino Linotype" w:eastAsiaTheme="minorEastAsia" w:hAnsi="Palatino Linotype" w:cstheme="majorBidi"/>
          <w:highlight w:val="cyan"/>
          <w:lang w:val="en-US"/>
        </w:rPr>
        <w:t>conditions;</w:t>
      </w:r>
      <w:proofErr w:type="gramEnd"/>
    </w:p>
    <w:p w14:paraId="73DDFF69" w14:textId="72C3D0AA" w:rsidR="00C2723E" w:rsidRPr="0075057A" w:rsidRDefault="005D01FE" w:rsidP="00040A6D">
      <w:pPr>
        <w:pStyle w:val="ListParagraph"/>
        <w:numPr>
          <w:ilvl w:val="0"/>
          <w:numId w:val="18"/>
        </w:numPr>
        <w:spacing w:after="120"/>
        <w:ind w:left="1890" w:hanging="540"/>
        <w:contextualSpacing w:val="0"/>
        <w:jc w:val="both"/>
        <w:rPr>
          <w:rFonts w:ascii="Palatino Linotype" w:eastAsiaTheme="minorEastAsia" w:hAnsi="Palatino Linotype" w:cstheme="majorBidi"/>
          <w:highlight w:val="cyan"/>
          <w:lang w:val="en-US"/>
        </w:rPr>
      </w:pPr>
      <w:r w:rsidRPr="0075057A">
        <w:rPr>
          <w:rFonts w:ascii="Palatino Linotype" w:eastAsiaTheme="minorEastAsia" w:hAnsi="Palatino Linotype" w:cstheme="majorBidi"/>
          <w:highlight w:val="cyan"/>
          <w:lang w:val="en-US"/>
        </w:rPr>
        <w:t xml:space="preserve">The appropriateness of a transfer pricing method having regard to the nature of the controlled transaction determined, in particular, through an analysis of the functions performed, assets </w:t>
      </w:r>
      <w:proofErr w:type="gramStart"/>
      <w:r w:rsidRPr="0075057A">
        <w:rPr>
          <w:rFonts w:ascii="Palatino Linotype" w:eastAsiaTheme="minorEastAsia" w:hAnsi="Palatino Linotype" w:cstheme="majorBidi"/>
          <w:highlight w:val="cyan"/>
          <w:lang w:val="en-US"/>
        </w:rPr>
        <w:t>employed</w:t>
      </w:r>
      <w:proofErr w:type="gramEnd"/>
      <w:r w:rsidRPr="0075057A">
        <w:rPr>
          <w:rFonts w:ascii="Palatino Linotype" w:eastAsiaTheme="minorEastAsia" w:hAnsi="Palatino Linotype" w:cstheme="majorBidi"/>
          <w:highlight w:val="cyan"/>
          <w:lang w:val="en-US"/>
        </w:rPr>
        <w:t xml:space="preserve"> and risks assumed by each party to the controlled transaction;</w:t>
      </w:r>
    </w:p>
    <w:p w14:paraId="3B4A5614" w14:textId="10E2A914" w:rsidR="00C2723E" w:rsidRPr="0075057A" w:rsidRDefault="00C2723E" w:rsidP="00040A6D">
      <w:pPr>
        <w:pStyle w:val="ListParagraph"/>
        <w:numPr>
          <w:ilvl w:val="0"/>
          <w:numId w:val="18"/>
        </w:numPr>
        <w:spacing w:after="120"/>
        <w:ind w:left="1890" w:hanging="540"/>
        <w:contextualSpacing w:val="0"/>
        <w:jc w:val="both"/>
        <w:rPr>
          <w:rFonts w:ascii="Palatino Linotype" w:eastAsiaTheme="minorEastAsia" w:hAnsi="Palatino Linotype" w:cstheme="majorBidi"/>
          <w:highlight w:val="cyan"/>
          <w:lang w:val="en-US"/>
        </w:rPr>
      </w:pPr>
      <w:r w:rsidRPr="0075057A">
        <w:rPr>
          <w:rFonts w:ascii="Palatino Linotype" w:eastAsiaTheme="minorEastAsia" w:hAnsi="Palatino Linotype" w:cstheme="majorBidi"/>
          <w:highlight w:val="cyan"/>
          <w:lang w:val="en-US"/>
        </w:rPr>
        <w:t xml:space="preserve">The availability of reliable information required to apply a particular </w:t>
      </w:r>
      <w:proofErr w:type="gramStart"/>
      <w:r w:rsidRPr="0075057A">
        <w:rPr>
          <w:rFonts w:ascii="Palatino Linotype" w:eastAsiaTheme="minorEastAsia" w:hAnsi="Palatino Linotype" w:cstheme="majorBidi"/>
          <w:highlight w:val="cyan"/>
          <w:lang w:val="en-US"/>
        </w:rPr>
        <w:t>method;</w:t>
      </w:r>
      <w:proofErr w:type="gramEnd"/>
    </w:p>
    <w:p w14:paraId="627D224E" w14:textId="42207548" w:rsidR="00C2723E" w:rsidRPr="0075057A" w:rsidRDefault="00C2723E" w:rsidP="00040A6D">
      <w:pPr>
        <w:pStyle w:val="ListParagraph"/>
        <w:numPr>
          <w:ilvl w:val="0"/>
          <w:numId w:val="18"/>
        </w:numPr>
        <w:spacing w:after="120"/>
        <w:ind w:left="1890" w:hanging="540"/>
        <w:contextualSpacing w:val="0"/>
        <w:jc w:val="both"/>
        <w:rPr>
          <w:rFonts w:ascii="Palatino Linotype" w:eastAsiaTheme="minorEastAsia" w:hAnsi="Palatino Linotype" w:cstheme="majorBidi"/>
          <w:highlight w:val="cyan"/>
          <w:lang w:val="en-US"/>
        </w:rPr>
      </w:pPr>
      <w:r w:rsidRPr="0075057A">
        <w:rPr>
          <w:rFonts w:ascii="Palatino Linotype" w:eastAsiaTheme="minorEastAsia" w:hAnsi="Palatino Linotype" w:cstheme="majorBidi"/>
          <w:highlight w:val="cyan"/>
          <w:lang w:val="en-US"/>
        </w:rPr>
        <w:t>The degree of comparability between the actual circumstances and the comparable circumstances, including the reliability of any adjustments to eliminate the effect of material differences between those circumstances.</w:t>
      </w:r>
    </w:p>
    <w:p w14:paraId="724019E7" w14:textId="77777777" w:rsidR="00502339" w:rsidRPr="00321931" w:rsidRDefault="00502339" w:rsidP="00105FDD">
      <w:pPr>
        <w:pStyle w:val="ListParagraph"/>
        <w:spacing w:after="120"/>
        <w:ind w:left="1890"/>
        <w:contextualSpacing w:val="0"/>
        <w:jc w:val="both"/>
        <w:rPr>
          <w:rFonts w:ascii="Palatino Linotype" w:eastAsiaTheme="minorEastAsia" w:hAnsi="Palatino Linotype" w:cstheme="majorBidi"/>
          <w:lang w:val="en-US"/>
        </w:rPr>
      </w:pPr>
    </w:p>
    <w:p w14:paraId="77B6B757" w14:textId="5743CA73" w:rsidR="00925D27" w:rsidRPr="002501B4" w:rsidRDefault="00925D27" w:rsidP="00105FDD">
      <w:pPr>
        <w:pStyle w:val="Heading2"/>
        <w:numPr>
          <w:ilvl w:val="0"/>
          <w:numId w:val="1"/>
        </w:numPr>
        <w:tabs>
          <w:tab w:val="left" w:pos="630"/>
        </w:tabs>
        <w:spacing w:before="0" w:after="120"/>
        <w:ind w:left="720" w:hanging="720"/>
        <w:rPr>
          <w:rFonts w:ascii="Palatino Linotype" w:hAnsi="Palatino Linotype"/>
          <w:color w:val="auto"/>
          <w:sz w:val="22"/>
          <w:szCs w:val="22"/>
          <w:highlight w:val="cyan"/>
          <w:lang w:val="en-GB"/>
        </w:rPr>
      </w:pPr>
      <w:bookmarkStart w:id="12" w:name="_Toc136789324"/>
      <w:r w:rsidRPr="002501B4">
        <w:rPr>
          <w:rFonts w:ascii="Palatino Linotype" w:hAnsi="Palatino Linotype"/>
          <w:color w:val="auto"/>
          <w:sz w:val="22"/>
          <w:szCs w:val="22"/>
          <w:highlight w:val="cyan"/>
          <w:lang w:val="en-GB"/>
        </w:rPr>
        <w:t xml:space="preserve">Arm’s </w:t>
      </w:r>
      <w:r w:rsidR="00FD7C37" w:rsidRPr="002501B4">
        <w:rPr>
          <w:rFonts w:ascii="Palatino Linotype" w:hAnsi="Palatino Linotype"/>
          <w:color w:val="auto"/>
          <w:sz w:val="22"/>
          <w:szCs w:val="22"/>
          <w:highlight w:val="cyan"/>
          <w:lang w:val="en-GB"/>
        </w:rPr>
        <w:t>l</w:t>
      </w:r>
      <w:r w:rsidRPr="002501B4">
        <w:rPr>
          <w:rFonts w:ascii="Palatino Linotype" w:hAnsi="Palatino Linotype"/>
          <w:color w:val="auto"/>
          <w:sz w:val="22"/>
          <w:szCs w:val="22"/>
          <w:highlight w:val="cyan"/>
          <w:lang w:val="en-GB"/>
        </w:rPr>
        <w:t xml:space="preserve">ength </w:t>
      </w:r>
      <w:r w:rsidR="00FD7C37" w:rsidRPr="002501B4">
        <w:rPr>
          <w:rFonts w:ascii="Palatino Linotype" w:hAnsi="Palatino Linotype"/>
          <w:color w:val="auto"/>
          <w:sz w:val="22"/>
          <w:szCs w:val="22"/>
          <w:highlight w:val="cyan"/>
          <w:lang w:val="en-GB"/>
        </w:rPr>
        <w:t>r</w:t>
      </w:r>
      <w:r w:rsidRPr="002501B4">
        <w:rPr>
          <w:rFonts w:ascii="Palatino Linotype" w:hAnsi="Palatino Linotype"/>
          <w:color w:val="auto"/>
          <w:sz w:val="22"/>
          <w:szCs w:val="22"/>
          <w:highlight w:val="cyan"/>
          <w:lang w:val="en-GB"/>
        </w:rPr>
        <w:t>ange</w:t>
      </w:r>
      <w:bookmarkEnd w:id="12"/>
    </w:p>
    <w:p w14:paraId="6386758A" w14:textId="6615C3A9" w:rsidR="00925D27" w:rsidRPr="002501B4" w:rsidRDefault="00CB0A3B" w:rsidP="00040A6D">
      <w:pPr>
        <w:pStyle w:val="ListParagraph"/>
        <w:numPr>
          <w:ilvl w:val="0"/>
          <w:numId w:val="21"/>
        </w:numPr>
        <w:spacing w:after="120"/>
        <w:ind w:left="1350" w:hanging="630"/>
        <w:contextualSpacing w:val="0"/>
        <w:jc w:val="both"/>
        <w:rPr>
          <w:rFonts w:ascii="Palatino Linotype" w:eastAsiaTheme="minorEastAsia" w:hAnsi="Palatino Linotype" w:cstheme="majorBidi"/>
          <w:highlight w:val="cyan"/>
          <w:lang w:val="en-US"/>
        </w:rPr>
      </w:pPr>
      <w:r w:rsidRPr="002501B4">
        <w:rPr>
          <w:rFonts w:ascii="Palatino Linotype" w:eastAsiaTheme="minorEastAsia" w:hAnsi="Palatino Linotype" w:cstheme="majorBidi"/>
          <w:highlight w:val="cyan"/>
          <w:lang w:val="en-US"/>
        </w:rPr>
        <w:t xml:space="preserve">Where the application of the most appropriate method(s) </w:t>
      </w:r>
      <w:r w:rsidR="005C0AAF" w:rsidRPr="002501B4">
        <w:rPr>
          <w:rFonts w:ascii="Palatino Linotype" w:eastAsiaTheme="minorEastAsia" w:hAnsi="Palatino Linotype" w:cstheme="majorBidi"/>
          <w:highlight w:val="cyan"/>
          <w:lang w:val="en-US"/>
        </w:rPr>
        <w:t xml:space="preserve">results in a </w:t>
      </w:r>
      <w:r w:rsidR="00823B09" w:rsidRPr="002501B4">
        <w:rPr>
          <w:rFonts w:ascii="Palatino Linotype" w:eastAsiaTheme="minorEastAsia" w:hAnsi="Palatino Linotype" w:cstheme="majorBidi"/>
          <w:highlight w:val="cyan"/>
          <w:lang w:val="en-US"/>
        </w:rPr>
        <w:t xml:space="preserve">range of figures </w:t>
      </w:r>
      <w:r w:rsidR="005C0AAF" w:rsidRPr="002501B4">
        <w:rPr>
          <w:rFonts w:ascii="Palatino Linotype" w:eastAsiaTheme="minorEastAsia" w:hAnsi="Palatino Linotype" w:cstheme="majorBidi"/>
          <w:highlight w:val="cyan"/>
          <w:lang w:val="en-US"/>
        </w:rPr>
        <w:t>for which the degree of comparability of each to the controlled transactions</w:t>
      </w:r>
      <w:r w:rsidR="00FD7C37" w:rsidRPr="002501B4">
        <w:rPr>
          <w:rFonts w:ascii="Palatino Linotype" w:eastAsiaTheme="minorEastAsia" w:hAnsi="Palatino Linotype" w:cstheme="majorBidi"/>
          <w:highlight w:val="cyan"/>
          <w:lang w:val="en-US"/>
        </w:rPr>
        <w:t xml:space="preserve"> </w:t>
      </w:r>
      <w:r w:rsidR="005C0AAF" w:rsidRPr="002501B4">
        <w:rPr>
          <w:rFonts w:ascii="Palatino Linotype" w:eastAsiaTheme="minorEastAsia" w:hAnsi="Palatino Linotype" w:cstheme="majorBidi"/>
          <w:highlight w:val="cyan"/>
          <w:lang w:val="en-US"/>
        </w:rPr>
        <w:t xml:space="preserve">and to each other is uncertain, a statistical approach shall be used. Where such an approach is used, the interquartile range shall be </w:t>
      </w:r>
      <w:r w:rsidR="00FD7C37" w:rsidRPr="002501B4">
        <w:rPr>
          <w:rFonts w:ascii="Palatino Linotype" w:eastAsiaTheme="minorEastAsia" w:hAnsi="Palatino Linotype" w:cstheme="majorBidi"/>
          <w:highlight w:val="cyan"/>
          <w:lang w:val="en-US"/>
        </w:rPr>
        <w:t>taken</w:t>
      </w:r>
      <w:r w:rsidR="005C0AAF" w:rsidRPr="002501B4">
        <w:rPr>
          <w:rFonts w:ascii="Palatino Linotype" w:eastAsiaTheme="minorEastAsia" w:hAnsi="Palatino Linotype" w:cstheme="majorBidi"/>
          <w:highlight w:val="cyan"/>
          <w:lang w:val="en-US"/>
        </w:rPr>
        <w:t xml:space="preserve"> to be </w:t>
      </w:r>
      <w:r w:rsidR="00FD7C37" w:rsidRPr="002501B4">
        <w:rPr>
          <w:rFonts w:ascii="Palatino Linotype" w:eastAsiaTheme="minorEastAsia" w:hAnsi="Palatino Linotype" w:cstheme="majorBidi"/>
          <w:highlight w:val="cyan"/>
          <w:lang w:val="en-US"/>
        </w:rPr>
        <w:t>the</w:t>
      </w:r>
      <w:r w:rsidR="005C0AAF" w:rsidRPr="002501B4">
        <w:rPr>
          <w:rFonts w:ascii="Palatino Linotype" w:eastAsiaTheme="minorEastAsia" w:hAnsi="Palatino Linotype" w:cstheme="majorBidi"/>
          <w:highlight w:val="cyan"/>
          <w:lang w:val="en-US"/>
        </w:rPr>
        <w:t xml:space="preserve"> arm’s length range. The interquartile range shall be set within</w:t>
      </w:r>
      <w:r w:rsidR="00FD7C37" w:rsidRPr="002501B4">
        <w:rPr>
          <w:rFonts w:ascii="Palatino Linotype" w:eastAsiaTheme="minorEastAsia" w:hAnsi="Palatino Linotype" w:cstheme="majorBidi"/>
          <w:highlight w:val="cyan"/>
          <w:lang w:val="en-US"/>
        </w:rPr>
        <w:t xml:space="preserve"> the</w:t>
      </w:r>
      <w:r w:rsidR="005C0AAF" w:rsidRPr="002501B4">
        <w:rPr>
          <w:rFonts w:ascii="Palatino Linotype" w:eastAsiaTheme="minorEastAsia" w:hAnsi="Palatino Linotype" w:cstheme="majorBidi"/>
          <w:highlight w:val="cyan"/>
          <w:lang w:val="en-US"/>
        </w:rPr>
        <w:t xml:space="preserve"> 35</w:t>
      </w:r>
      <w:r w:rsidR="005C0AAF" w:rsidRPr="002501B4">
        <w:rPr>
          <w:rFonts w:ascii="Palatino Linotype" w:eastAsiaTheme="minorEastAsia" w:hAnsi="Palatino Linotype" w:cstheme="majorBidi"/>
          <w:highlight w:val="cyan"/>
          <w:vertAlign w:val="superscript"/>
          <w:lang w:val="en-US"/>
        </w:rPr>
        <w:t>th</w:t>
      </w:r>
      <w:r w:rsidR="005C0AAF" w:rsidRPr="002501B4">
        <w:rPr>
          <w:rFonts w:ascii="Palatino Linotype" w:eastAsiaTheme="minorEastAsia" w:hAnsi="Palatino Linotype" w:cstheme="majorBidi"/>
          <w:highlight w:val="cyan"/>
          <w:lang w:val="en-US"/>
        </w:rPr>
        <w:t xml:space="preserve"> percentile and 65</w:t>
      </w:r>
      <w:r w:rsidR="005C0AAF" w:rsidRPr="002501B4">
        <w:rPr>
          <w:rFonts w:ascii="Palatino Linotype" w:eastAsiaTheme="minorEastAsia" w:hAnsi="Palatino Linotype" w:cstheme="majorBidi"/>
          <w:highlight w:val="cyan"/>
          <w:vertAlign w:val="superscript"/>
          <w:lang w:val="en-US"/>
        </w:rPr>
        <w:t>th</w:t>
      </w:r>
      <w:r w:rsidR="005C0AAF" w:rsidRPr="002501B4">
        <w:rPr>
          <w:rFonts w:ascii="Palatino Linotype" w:eastAsiaTheme="minorEastAsia" w:hAnsi="Palatino Linotype" w:cstheme="majorBidi"/>
          <w:highlight w:val="cyan"/>
          <w:lang w:val="en-US"/>
        </w:rPr>
        <w:t xml:space="preserve"> percentile of the </w:t>
      </w:r>
      <w:r w:rsidR="00823B09" w:rsidRPr="002501B4">
        <w:rPr>
          <w:rFonts w:ascii="Palatino Linotype" w:eastAsiaTheme="minorEastAsia" w:hAnsi="Palatino Linotype" w:cstheme="majorBidi"/>
          <w:highlight w:val="cyan"/>
          <w:lang w:val="en-US"/>
        </w:rPr>
        <w:t>range of figures</w:t>
      </w:r>
      <w:r w:rsidR="005C0AAF" w:rsidRPr="002501B4">
        <w:rPr>
          <w:rFonts w:ascii="Palatino Linotype" w:eastAsiaTheme="minorEastAsia" w:hAnsi="Palatino Linotype" w:cstheme="majorBidi"/>
          <w:highlight w:val="cyan"/>
          <w:lang w:val="en-US"/>
        </w:rPr>
        <w:t>.</w:t>
      </w:r>
      <w:r w:rsidRPr="002501B4">
        <w:rPr>
          <w:rFonts w:ascii="Palatino Linotype" w:eastAsiaTheme="minorEastAsia" w:hAnsi="Palatino Linotype" w:cstheme="majorBidi"/>
          <w:highlight w:val="cyan"/>
          <w:lang w:val="en-US"/>
        </w:rPr>
        <w:t xml:space="preserve"> </w:t>
      </w:r>
    </w:p>
    <w:p w14:paraId="791E2876" w14:textId="0ADD82C8" w:rsidR="00A50B2F" w:rsidRPr="002501B4" w:rsidRDefault="005C0AAF" w:rsidP="00040A6D">
      <w:pPr>
        <w:pStyle w:val="ListParagraph"/>
        <w:numPr>
          <w:ilvl w:val="0"/>
          <w:numId w:val="21"/>
        </w:numPr>
        <w:spacing w:after="120"/>
        <w:ind w:left="1350" w:hanging="630"/>
        <w:contextualSpacing w:val="0"/>
        <w:jc w:val="both"/>
        <w:rPr>
          <w:rFonts w:ascii="Palatino Linotype" w:eastAsiaTheme="minorEastAsia" w:hAnsi="Palatino Linotype" w:cstheme="majorBidi"/>
          <w:highlight w:val="cyan"/>
          <w:lang w:val="en-US"/>
        </w:rPr>
      </w:pPr>
      <w:r w:rsidRPr="002501B4">
        <w:rPr>
          <w:rFonts w:ascii="Palatino Linotype" w:eastAsiaTheme="minorEastAsia" w:hAnsi="Palatino Linotype" w:cstheme="majorBidi"/>
          <w:highlight w:val="cyan"/>
          <w:lang w:val="en-US"/>
        </w:rPr>
        <w:t>Where the</w:t>
      </w:r>
      <w:r w:rsidR="00A50B2F" w:rsidRPr="002501B4">
        <w:rPr>
          <w:rFonts w:ascii="Palatino Linotype" w:eastAsiaTheme="minorEastAsia" w:hAnsi="Palatino Linotype" w:cstheme="majorBidi"/>
          <w:highlight w:val="cyan"/>
          <w:lang w:val="en-US"/>
        </w:rPr>
        <w:t xml:space="preserve"> relevant </w:t>
      </w:r>
      <w:r w:rsidR="00823B09" w:rsidRPr="002501B4">
        <w:rPr>
          <w:rFonts w:ascii="Palatino Linotype" w:eastAsiaTheme="minorEastAsia" w:hAnsi="Palatino Linotype" w:cstheme="majorBidi"/>
          <w:highlight w:val="cyan"/>
          <w:lang w:val="en-US"/>
        </w:rPr>
        <w:t>range of figures</w:t>
      </w:r>
      <w:r w:rsidRPr="002501B4">
        <w:rPr>
          <w:rFonts w:ascii="Palatino Linotype" w:eastAsiaTheme="minorEastAsia" w:hAnsi="Palatino Linotype" w:cstheme="majorBidi"/>
          <w:highlight w:val="cyan"/>
          <w:lang w:val="en-US"/>
        </w:rPr>
        <w:t xml:space="preserve"> derived from </w:t>
      </w:r>
      <w:r w:rsidR="00A50B2F" w:rsidRPr="002501B4">
        <w:rPr>
          <w:rFonts w:ascii="Palatino Linotype" w:eastAsiaTheme="minorEastAsia" w:hAnsi="Palatino Linotype" w:cstheme="majorBidi"/>
          <w:highlight w:val="cyan"/>
          <w:lang w:val="en-US"/>
        </w:rPr>
        <w:t>the controlled transaction</w:t>
      </w:r>
      <w:r w:rsidR="00CB0A3B" w:rsidRPr="002501B4">
        <w:rPr>
          <w:rFonts w:ascii="Palatino Linotype" w:eastAsiaTheme="minorEastAsia" w:hAnsi="Palatino Linotype" w:cstheme="majorBidi"/>
          <w:highlight w:val="cyan"/>
          <w:lang w:val="en-US"/>
        </w:rPr>
        <w:t xml:space="preserve"> is within the arm’s length range, no adjustment should be made.</w:t>
      </w:r>
    </w:p>
    <w:p w14:paraId="07611712" w14:textId="7813EAF0" w:rsidR="005C0AAF" w:rsidRPr="002501B4" w:rsidRDefault="005C0AAF" w:rsidP="00040A6D">
      <w:pPr>
        <w:pStyle w:val="ListParagraph"/>
        <w:numPr>
          <w:ilvl w:val="0"/>
          <w:numId w:val="21"/>
        </w:numPr>
        <w:spacing w:after="120"/>
        <w:ind w:left="1350" w:hanging="630"/>
        <w:contextualSpacing w:val="0"/>
        <w:jc w:val="both"/>
        <w:rPr>
          <w:rFonts w:ascii="Palatino Linotype" w:eastAsiaTheme="minorEastAsia" w:hAnsi="Palatino Linotype" w:cstheme="majorBidi"/>
          <w:highlight w:val="cyan"/>
          <w:lang w:val="en-US"/>
        </w:rPr>
      </w:pPr>
      <w:r w:rsidRPr="002501B4">
        <w:rPr>
          <w:rFonts w:ascii="Palatino Linotype" w:eastAsiaTheme="minorEastAsia" w:hAnsi="Palatino Linotype" w:cstheme="majorBidi"/>
          <w:highlight w:val="cyan"/>
          <w:lang w:val="en-US"/>
        </w:rPr>
        <w:lastRenderedPageBreak/>
        <w:t xml:space="preserve">Where the relevant </w:t>
      </w:r>
      <w:r w:rsidR="00823B09" w:rsidRPr="002501B4">
        <w:rPr>
          <w:rFonts w:ascii="Palatino Linotype" w:eastAsiaTheme="minorEastAsia" w:hAnsi="Palatino Linotype" w:cstheme="majorBidi"/>
          <w:highlight w:val="cyan"/>
          <w:lang w:val="en-US"/>
        </w:rPr>
        <w:t>range of figures</w:t>
      </w:r>
      <w:r w:rsidR="000A4501" w:rsidRPr="002501B4">
        <w:rPr>
          <w:rFonts w:ascii="Palatino Linotype" w:eastAsiaTheme="minorEastAsia" w:hAnsi="Palatino Linotype" w:cstheme="majorBidi"/>
          <w:highlight w:val="cyan"/>
          <w:lang w:val="en-US"/>
        </w:rPr>
        <w:t xml:space="preserve"> derived from the controlled transaction falls outside the arm’s length range, the taxable income shall be adjusted to ensure that relevant </w:t>
      </w:r>
      <w:r w:rsidR="00823B09" w:rsidRPr="002501B4">
        <w:rPr>
          <w:rFonts w:ascii="Palatino Linotype" w:eastAsiaTheme="minorEastAsia" w:hAnsi="Palatino Linotype" w:cstheme="majorBidi"/>
          <w:highlight w:val="cyan"/>
          <w:lang w:val="en-US"/>
        </w:rPr>
        <w:t>range of figures</w:t>
      </w:r>
      <w:r w:rsidR="000A4501" w:rsidRPr="002501B4">
        <w:rPr>
          <w:rFonts w:ascii="Palatino Linotype" w:eastAsiaTheme="minorEastAsia" w:hAnsi="Palatino Linotype" w:cstheme="majorBidi"/>
          <w:highlight w:val="cyan"/>
          <w:lang w:val="en-US"/>
        </w:rPr>
        <w:t xml:space="preserve"> equates the most appropriate point in the arm’s length range based on the facts and circumstances of the transactions.</w:t>
      </w:r>
    </w:p>
    <w:p w14:paraId="7BDB8134" w14:textId="744DFD02" w:rsidR="000A4501" w:rsidRPr="002501B4" w:rsidRDefault="000A4501" w:rsidP="00040A6D">
      <w:pPr>
        <w:pStyle w:val="ListParagraph"/>
        <w:numPr>
          <w:ilvl w:val="0"/>
          <w:numId w:val="21"/>
        </w:numPr>
        <w:spacing w:after="120"/>
        <w:ind w:left="1350" w:hanging="630"/>
        <w:contextualSpacing w:val="0"/>
        <w:jc w:val="both"/>
        <w:rPr>
          <w:rFonts w:ascii="Palatino Linotype" w:eastAsiaTheme="minorEastAsia" w:hAnsi="Palatino Linotype" w:cstheme="majorBidi"/>
          <w:highlight w:val="cyan"/>
          <w:lang w:val="en-US"/>
        </w:rPr>
      </w:pPr>
      <w:r w:rsidRPr="002501B4">
        <w:rPr>
          <w:rFonts w:ascii="Palatino Linotype" w:eastAsiaTheme="minorEastAsia" w:hAnsi="Palatino Linotype" w:cstheme="majorBidi"/>
          <w:highlight w:val="cyan"/>
          <w:lang w:val="en-US"/>
        </w:rPr>
        <w:t xml:space="preserve">The most appropriate point in the arm’s length range shall be set at the median of the </w:t>
      </w:r>
      <w:r w:rsidR="00823B09" w:rsidRPr="002501B4">
        <w:rPr>
          <w:rFonts w:ascii="Palatino Linotype" w:eastAsiaTheme="minorEastAsia" w:hAnsi="Palatino Linotype" w:cstheme="majorBidi"/>
          <w:highlight w:val="cyan"/>
          <w:lang w:val="en-US"/>
        </w:rPr>
        <w:t>range of figures.</w:t>
      </w:r>
    </w:p>
    <w:p w14:paraId="25D5C208" w14:textId="74FEC177" w:rsidR="00E33355" w:rsidRPr="00321931" w:rsidRDefault="00E33355" w:rsidP="00E33355">
      <w:pPr>
        <w:spacing w:after="120"/>
        <w:jc w:val="both"/>
        <w:rPr>
          <w:rFonts w:ascii="Palatino Linotype" w:eastAsiaTheme="minorEastAsia" w:hAnsi="Palatino Linotype" w:cstheme="majorBidi"/>
          <w:lang w:val="en-US"/>
        </w:rPr>
      </w:pPr>
    </w:p>
    <w:p w14:paraId="33C05CB5" w14:textId="77777777" w:rsidR="004A07F1" w:rsidRPr="00FE2A0D" w:rsidRDefault="004A07F1" w:rsidP="00E33355">
      <w:pPr>
        <w:pStyle w:val="Heading2"/>
        <w:numPr>
          <w:ilvl w:val="0"/>
          <w:numId w:val="1"/>
        </w:numPr>
        <w:tabs>
          <w:tab w:val="left" w:pos="630"/>
        </w:tabs>
        <w:spacing w:before="0" w:after="120"/>
        <w:ind w:left="720" w:hanging="720"/>
        <w:rPr>
          <w:rFonts w:ascii="Palatino Linotype" w:hAnsi="Palatino Linotype"/>
          <w:color w:val="auto"/>
          <w:sz w:val="22"/>
          <w:szCs w:val="22"/>
          <w:highlight w:val="cyan"/>
          <w:lang w:val="en-GB"/>
        </w:rPr>
      </w:pPr>
      <w:bookmarkStart w:id="13" w:name="_Toc136789325"/>
      <w:r w:rsidRPr="00FE2A0D">
        <w:rPr>
          <w:rFonts w:ascii="Palatino Linotype" w:hAnsi="Palatino Linotype"/>
          <w:color w:val="auto"/>
          <w:sz w:val="22"/>
          <w:szCs w:val="22"/>
          <w:highlight w:val="cyan"/>
          <w:lang w:val="en-GB"/>
        </w:rPr>
        <w:t>Corresponding adjustment</w:t>
      </w:r>
      <w:bookmarkEnd w:id="13"/>
    </w:p>
    <w:p w14:paraId="4887EB0D" w14:textId="6C6791DD" w:rsidR="004A07F1" w:rsidRPr="00321931" w:rsidRDefault="004A07F1">
      <w:pPr>
        <w:ind w:left="720"/>
        <w:jc w:val="both"/>
        <w:rPr>
          <w:rFonts w:ascii="Palatino Linotype" w:eastAsiaTheme="minorEastAsia" w:hAnsi="Palatino Linotype" w:cstheme="majorBidi"/>
          <w:lang w:val="en-US"/>
        </w:rPr>
      </w:pPr>
      <w:r w:rsidRPr="00FE2A0D">
        <w:rPr>
          <w:rFonts w:ascii="Palatino Linotype" w:eastAsiaTheme="minorEastAsia" w:hAnsi="Palatino Linotype" w:cstheme="majorBidi"/>
          <w:highlight w:val="cyan"/>
          <w:lang w:val="en-US"/>
        </w:rPr>
        <w:t>Wh</w:t>
      </w:r>
      <w:r w:rsidR="00B90B9C" w:rsidRPr="00FE2A0D">
        <w:rPr>
          <w:rFonts w:ascii="Palatino Linotype" w:eastAsiaTheme="minorEastAsia" w:hAnsi="Palatino Linotype" w:cstheme="majorBidi"/>
          <w:highlight w:val="cyan"/>
          <w:lang w:val="en-US"/>
        </w:rPr>
        <w:t>ere the taxpayer is a resident in the Maldives</w:t>
      </w:r>
      <w:r w:rsidR="00E5410A" w:rsidRPr="00FE2A0D">
        <w:rPr>
          <w:rFonts w:ascii="Palatino Linotype" w:eastAsiaTheme="minorEastAsia" w:hAnsi="Palatino Linotype" w:cstheme="majorBidi"/>
          <w:highlight w:val="cyan"/>
          <w:lang w:val="en-US"/>
        </w:rPr>
        <w:t xml:space="preserve"> or a non-resident with a Permanent Establishment in the Maldives,</w:t>
      </w:r>
      <w:r w:rsidR="00B90B9C" w:rsidRPr="00FE2A0D">
        <w:rPr>
          <w:rFonts w:ascii="Palatino Linotype" w:eastAsiaTheme="minorEastAsia" w:hAnsi="Palatino Linotype" w:cstheme="majorBidi"/>
          <w:highlight w:val="cyan"/>
          <w:lang w:val="en-US"/>
        </w:rPr>
        <w:t xml:space="preserve"> and</w:t>
      </w:r>
      <w:r w:rsidRPr="00FE2A0D">
        <w:rPr>
          <w:rFonts w:ascii="Palatino Linotype" w:eastAsiaTheme="minorEastAsia" w:hAnsi="Palatino Linotype" w:cstheme="majorBidi"/>
          <w:highlight w:val="cyan"/>
          <w:lang w:val="en-US"/>
        </w:rPr>
        <w:t xml:space="preserve"> </w:t>
      </w:r>
      <w:r w:rsidR="00B90B9C" w:rsidRPr="00FE2A0D">
        <w:rPr>
          <w:rFonts w:ascii="Palatino Linotype" w:eastAsiaTheme="minorEastAsia" w:hAnsi="Palatino Linotype" w:cstheme="majorBidi"/>
          <w:highlight w:val="cyan"/>
          <w:lang w:val="en-US"/>
        </w:rPr>
        <w:t>an adjustment is made to the taxation</w:t>
      </w:r>
      <w:r w:rsidRPr="00FE2A0D">
        <w:rPr>
          <w:rFonts w:ascii="Palatino Linotype" w:eastAsiaTheme="minorEastAsia" w:hAnsi="Palatino Linotype" w:cstheme="majorBidi"/>
          <w:highlight w:val="cyan"/>
          <w:lang w:val="en-US"/>
        </w:rPr>
        <w:t xml:space="preserve"> of a transaction between</w:t>
      </w:r>
      <w:r w:rsidR="00B90B9C" w:rsidRPr="00FE2A0D">
        <w:rPr>
          <w:rFonts w:ascii="Palatino Linotype" w:eastAsiaTheme="minorEastAsia" w:hAnsi="Palatino Linotype" w:cstheme="majorBidi"/>
          <w:highlight w:val="cyan"/>
          <w:lang w:val="en-US"/>
        </w:rPr>
        <w:t xml:space="preserve"> taxpayer and</w:t>
      </w:r>
      <w:r w:rsidRPr="00FE2A0D">
        <w:rPr>
          <w:rFonts w:ascii="Palatino Linotype" w:eastAsiaTheme="minorEastAsia" w:hAnsi="Palatino Linotype" w:cstheme="majorBidi"/>
          <w:highlight w:val="cyan"/>
          <w:lang w:val="en-US"/>
        </w:rPr>
        <w:t xml:space="preserve"> </w:t>
      </w:r>
      <w:r w:rsidR="00B90B9C" w:rsidRPr="00FE2A0D">
        <w:rPr>
          <w:rFonts w:ascii="Palatino Linotype" w:eastAsiaTheme="minorEastAsia" w:hAnsi="Palatino Linotype" w:cstheme="majorBidi"/>
          <w:highlight w:val="cyan"/>
          <w:lang w:val="en-US"/>
        </w:rPr>
        <w:t>associated parties by the tax authority in another country with which the Maldives has in effect a treaty to avoid double taxation, MIRA upon request by the taxpayer, shall examine the appropriateness of that adjustment. If MIRA considers that the adjustment is consistent with the provision</w:t>
      </w:r>
      <w:r w:rsidR="00FE2A0D" w:rsidRPr="00FE2A0D">
        <w:rPr>
          <w:rFonts w:ascii="Palatino Linotype" w:eastAsiaTheme="minorEastAsia" w:hAnsi="Palatino Linotype" w:cstheme="majorBidi"/>
          <w:highlight w:val="cyan"/>
          <w:lang w:val="en-US"/>
        </w:rPr>
        <w:t>s</w:t>
      </w:r>
      <w:r w:rsidR="00B90B9C" w:rsidRPr="00FE2A0D">
        <w:rPr>
          <w:rFonts w:ascii="Palatino Linotype" w:eastAsiaTheme="minorEastAsia" w:hAnsi="Palatino Linotype" w:cstheme="majorBidi"/>
          <w:highlight w:val="cyan"/>
          <w:lang w:val="en-US"/>
        </w:rPr>
        <w:t xml:space="preserve"> of the Act and this Regulation and the taxpayer demonstrates that it provides relief from double taxation, MIRA </w:t>
      </w:r>
      <w:r w:rsidR="00A36AB2" w:rsidRPr="00FE2A0D">
        <w:rPr>
          <w:rFonts w:ascii="Palatino Linotype" w:eastAsiaTheme="minorEastAsia" w:hAnsi="Palatino Linotype" w:cstheme="majorBidi"/>
          <w:highlight w:val="cyan"/>
          <w:lang w:val="en-US"/>
        </w:rPr>
        <w:t>shall</w:t>
      </w:r>
      <w:r w:rsidR="00B90B9C" w:rsidRPr="00FE2A0D">
        <w:rPr>
          <w:rFonts w:ascii="Palatino Linotype" w:eastAsiaTheme="minorEastAsia" w:hAnsi="Palatino Linotype" w:cstheme="majorBidi"/>
          <w:highlight w:val="cyan"/>
          <w:lang w:val="en-US"/>
        </w:rPr>
        <w:t xml:space="preserve"> make a corresponding adjustment to the amount of tax charged in Maldives on the income </w:t>
      </w:r>
      <w:proofErr w:type="gramStart"/>
      <w:r w:rsidR="00B90B9C" w:rsidRPr="00FE2A0D">
        <w:rPr>
          <w:rFonts w:ascii="Palatino Linotype" w:eastAsiaTheme="minorEastAsia" w:hAnsi="Palatino Linotype" w:cstheme="majorBidi"/>
          <w:highlight w:val="cyan"/>
          <w:lang w:val="en-US"/>
        </w:rPr>
        <w:t>so as to</w:t>
      </w:r>
      <w:proofErr w:type="gramEnd"/>
      <w:r w:rsidR="00B90B9C" w:rsidRPr="00FE2A0D">
        <w:rPr>
          <w:rFonts w:ascii="Palatino Linotype" w:eastAsiaTheme="minorEastAsia" w:hAnsi="Palatino Linotype" w:cstheme="majorBidi"/>
          <w:highlight w:val="cyan"/>
          <w:lang w:val="en-US"/>
        </w:rPr>
        <w:t xml:space="preserve"> avoid double taxation.</w:t>
      </w:r>
    </w:p>
    <w:p w14:paraId="31AEB89C" w14:textId="77777777" w:rsidR="00E31647" w:rsidRPr="00321931" w:rsidRDefault="00E31647" w:rsidP="00105FDD">
      <w:pPr>
        <w:ind w:left="720"/>
        <w:jc w:val="both"/>
        <w:rPr>
          <w:rFonts w:ascii="Palatino Linotype" w:eastAsiaTheme="minorEastAsia" w:hAnsi="Palatino Linotype"/>
          <w:lang w:val="en-US"/>
        </w:rPr>
      </w:pPr>
    </w:p>
    <w:p w14:paraId="6C50E445" w14:textId="69E93184" w:rsidR="00E33355" w:rsidRPr="00FC5C84" w:rsidRDefault="00DB0EF7" w:rsidP="00E33355">
      <w:pPr>
        <w:pStyle w:val="Heading2"/>
        <w:numPr>
          <w:ilvl w:val="0"/>
          <w:numId w:val="1"/>
        </w:numPr>
        <w:tabs>
          <w:tab w:val="left" w:pos="630"/>
        </w:tabs>
        <w:spacing w:before="0" w:after="120"/>
        <w:ind w:left="720" w:hanging="720"/>
        <w:rPr>
          <w:rFonts w:ascii="Palatino Linotype" w:hAnsi="Palatino Linotype"/>
          <w:color w:val="auto"/>
          <w:sz w:val="22"/>
          <w:szCs w:val="22"/>
          <w:highlight w:val="cyan"/>
          <w:lang w:val="en-GB"/>
        </w:rPr>
      </w:pPr>
      <w:bookmarkStart w:id="14" w:name="_Toc136789326"/>
      <w:r w:rsidRPr="00FC5C84">
        <w:rPr>
          <w:rFonts w:ascii="Palatino Linotype" w:hAnsi="Palatino Linotype"/>
          <w:color w:val="auto"/>
          <w:sz w:val="22"/>
          <w:szCs w:val="22"/>
          <w:highlight w:val="cyan"/>
          <w:lang w:val="en-GB"/>
        </w:rPr>
        <w:t xml:space="preserve">Special considerations for </w:t>
      </w:r>
      <w:r w:rsidR="00E33355" w:rsidRPr="00FC5C84">
        <w:rPr>
          <w:rFonts w:ascii="Palatino Linotype" w:hAnsi="Palatino Linotype"/>
          <w:color w:val="auto"/>
          <w:sz w:val="22"/>
          <w:szCs w:val="22"/>
          <w:highlight w:val="cyan"/>
          <w:lang w:val="en-GB"/>
        </w:rPr>
        <w:t>Intra-group services</w:t>
      </w:r>
      <w:bookmarkEnd w:id="14"/>
    </w:p>
    <w:p w14:paraId="72D1B751" w14:textId="054C13EA" w:rsidR="007A41A0" w:rsidRPr="00FC5C84" w:rsidRDefault="007A41A0" w:rsidP="00040A6D">
      <w:pPr>
        <w:pStyle w:val="ListParagraph"/>
        <w:numPr>
          <w:ilvl w:val="0"/>
          <w:numId w:val="24"/>
        </w:numPr>
        <w:spacing w:after="120"/>
        <w:ind w:left="1350" w:hanging="720"/>
        <w:contextualSpacing w:val="0"/>
        <w:jc w:val="both"/>
        <w:rPr>
          <w:rFonts w:ascii="Palatino Linotype" w:eastAsiaTheme="minorEastAsia" w:hAnsi="Palatino Linotype" w:cstheme="majorBidi"/>
          <w:highlight w:val="cyan"/>
          <w:lang w:val="en-US"/>
        </w:rPr>
      </w:pPr>
      <w:r w:rsidRPr="00FC5C84">
        <w:rPr>
          <w:rFonts w:ascii="Palatino Linotype" w:eastAsiaTheme="minorEastAsia" w:hAnsi="Palatino Linotype" w:cstheme="majorBidi"/>
          <w:highlight w:val="cyan"/>
          <w:lang w:val="en-US"/>
        </w:rPr>
        <w:t>The remuneration for intra-group services</w:t>
      </w:r>
      <w:r w:rsidR="00B435CA" w:rsidRPr="00FC5C84">
        <w:rPr>
          <w:rFonts w:ascii="Palatino Linotype" w:eastAsiaTheme="minorEastAsia" w:hAnsi="Palatino Linotype" w:cstheme="majorBidi"/>
          <w:highlight w:val="cyan"/>
          <w:lang w:val="en-US"/>
        </w:rPr>
        <w:t xml:space="preserve"> between associated parties shall be considered consistent with the arm’s length principle</w:t>
      </w:r>
      <w:r w:rsidR="00781DA1" w:rsidRPr="00FC5C84">
        <w:rPr>
          <w:rFonts w:ascii="Palatino Linotype" w:eastAsiaTheme="minorEastAsia" w:hAnsi="Palatino Linotype" w:cstheme="majorBidi"/>
          <w:highlight w:val="cyan"/>
          <w:lang w:val="en-US"/>
        </w:rPr>
        <w:t xml:space="preserve"> and chargeable, </w:t>
      </w:r>
      <w:r w:rsidR="00B435CA" w:rsidRPr="00FC5C84">
        <w:rPr>
          <w:rFonts w:ascii="Palatino Linotype" w:eastAsiaTheme="minorEastAsia" w:hAnsi="Palatino Linotype" w:cstheme="majorBidi"/>
          <w:highlight w:val="cyan"/>
          <w:lang w:val="en-US"/>
        </w:rPr>
        <w:t>where:</w:t>
      </w:r>
    </w:p>
    <w:p w14:paraId="3EF9E396" w14:textId="57D58829" w:rsidR="00B435CA" w:rsidRPr="00FC5C84" w:rsidRDefault="00B435CA" w:rsidP="00040A6D">
      <w:pPr>
        <w:pStyle w:val="ListParagraph"/>
        <w:numPr>
          <w:ilvl w:val="0"/>
          <w:numId w:val="27"/>
        </w:numPr>
        <w:spacing w:after="120"/>
        <w:ind w:left="1890" w:hanging="540"/>
        <w:contextualSpacing w:val="0"/>
        <w:jc w:val="both"/>
        <w:rPr>
          <w:rFonts w:ascii="Palatino Linotype" w:eastAsiaTheme="minorEastAsia" w:hAnsi="Palatino Linotype" w:cstheme="majorBidi"/>
          <w:highlight w:val="cyan"/>
          <w:lang w:val="en-US"/>
        </w:rPr>
      </w:pPr>
      <w:r w:rsidRPr="00FC5C84">
        <w:rPr>
          <w:rFonts w:ascii="Palatino Linotype" w:eastAsiaTheme="minorEastAsia" w:hAnsi="Palatino Linotype" w:cstheme="majorBidi"/>
          <w:highlight w:val="cyan"/>
          <w:lang w:val="en-US"/>
        </w:rPr>
        <w:t xml:space="preserve">It is charged </w:t>
      </w:r>
      <w:r w:rsidR="00DB0EF7" w:rsidRPr="00FC5C84">
        <w:rPr>
          <w:rFonts w:ascii="Palatino Linotype" w:eastAsiaTheme="minorEastAsia" w:hAnsi="Palatino Linotype" w:cstheme="majorBidi"/>
          <w:highlight w:val="cyan"/>
          <w:lang w:val="en-US"/>
        </w:rPr>
        <w:t xml:space="preserve">for a service that is </w:t>
      </w:r>
      <w:proofErr w:type="gramStart"/>
      <w:r w:rsidR="00DB0EF7" w:rsidRPr="00FC5C84">
        <w:rPr>
          <w:rFonts w:ascii="Palatino Linotype" w:eastAsiaTheme="minorEastAsia" w:hAnsi="Palatino Linotype" w:cstheme="majorBidi"/>
          <w:highlight w:val="cyan"/>
          <w:lang w:val="en-US"/>
        </w:rPr>
        <w:t>actually rendered</w:t>
      </w:r>
      <w:proofErr w:type="gramEnd"/>
      <w:r w:rsidR="00DB0EF7" w:rsidRPr="00FC5C84">
        <w:rPr>
          <w:rFonts w:ascii="Palatino Linotype" w:eastAsiaTheme="minorEastAsia" w:hAnsi="Palatino Linotype" w:cstheme="majorBidi"/>
          <w:highlight w:val="cyan"/>
          <w:lang w:val="en-US"/>
        </w:rPr>
        <w:t>;</w:t>
      </w:r>
      <w:r w:rsidR="00292749" w:rsidRPr="00FC5C84">
        <w:rPr>
          <w:rFonts w:ascii="Palatino Linotype" w:eastAsiaTheme="minorEastAsia" w:hAnsi="Palatino Linotype" w:cstheme="majorBidi"/>
          <w:highlight w:val="cyan"/>
          <w:lang w:val="en-US"/>
        </w:rPr>
        <w:t xml:space="preserve"> and</w:t>
      </w:r>
    </w:p>
    <w:p w14:paraId="5080B04E" w14:textId="5FF42D59" w:rsidR="00DB0EF7" w:rsidRPr="00FC5C84" w:rsidRDefault="00DB0EF7" w:rsidP="00040A6D">
      <w:pPr>
        <w:pStyle w:val="ListParagraph"/>
        <w:numPr>
          <w:ilvl w:val="0"/>
          <w:numId w:val="27"/>
        </w:numPr>
        <w:spacing w:after="120"/>
        <w:ind w:left="1890" w:hanging="540"/>
        <w:contextualSpacing w:val="0"/>
        <w:jc w:val="both"/>
        <w:rPr>
          <w:rFonts w:ascii="Palatino Linotype" w:eastAsiaTheme="minorEastAsia" w:hAnsi="Palatino Linotype" w:cstheme="majorBidi"/>
          <w:highlight w:val="cyan"/>
          <w:lang w:val="en-US"/>
        </w:rPr>
      </w:pPr>
      <w:r w:rsidRPr="00FC5C84">
        <w:rPr>
          <w:rFonts w:ascii="Palatino Linotype" w:eastAsiaTheme="minorEastAsia" w:hAnsi="Palatino Linotype" w:cstheme="majorBidi"/>
          <w:highlight w:val="cyan"/>
          <w:lang w:val="en-US"/>
        </w:rPr>
        <w:t>The services when rendered was expected to provide</w:t>
      </w:r>
      <w:r w:rsidR="00FC5C84" w:rsidRPr="00FC5C84">
        <w:rPr>
          <w:rFonts w:ascii="Palatino Linotype" w:eastAsiaTheme="minorEastAsia" w:hAnsi="Palatino Linotype" w:cstheme="majorBidi"/>
          <w:highlight w:val="cyan"/>
          <w:lang w:val="en-US"/>
        </w:rPr>
        <w:t xml:space="preserve"> </w:t>
      </w:r>
      <w:r w:rsidRPr="00FC5C84">
        <w:rPr>
          <w:rFonts w:ascii="Palatino Linotype" w:eastAsiaTheme="minorEastAsia" w:hAnsi="Palatino Linotype" w:cstheme="majorBidi"/>
          <w:highlight w:val="cyan"/>
          <w:lang w:val="en-US"/>
        </w:rPr>
        <w:t>the recipient with economic or commercial value to enhance its commercial position;</w:t>
      </w:r>
      <w:r w:rsidR="00292749" w:rsidRPr="00FC5C84">
        <w:rPr>
          <w:rFonts w:ascii="Palatino Linotype" w:eastAsiaTheme="minorEastAsia" w:hAnsi="Palatino Linotype" w:cstheme="majorBidi"/>
          <w:highlight w:val="cyan"/>
          <w:lang w:val="en-US"/>
        </w:rPr>
        <w:t xml:space="preserve"> and</w:t>
      </w:r>
    </w:p>
    <w:p w14:paraId="7DCB7BD0" w14:textId="1AA70BE7" w:rsidR="00DB0EF7" w:rsidRPr="00FC5C84" w:rsidRDefault="00DB0EF7" w:rsidP="00040A6D">
      <w:pPr>
        <w:pStyle w:val="ListParagraph"/>
        <w:numPr>
          <w:ilvl w:val="0"/>
          <w:numId w:val="27"/>
        </w:numPr>
        <w:spacing w:after="120"/>
        <w:ind w:left="1890" w:hanging="540"/>
        <w:contextualSpacing w:val="0"/>
        <w:jc w:val="both"/>
        <w:rPr>
          <w:rFonts w:ascii="Palatino Linotype" w:eastAsiaTheme="minorEastAsia" w:hAnsi="Palatino Linotype" w:cstheme="majorBidi"/>
          <w:highlight w:val="cyan"/>
          <w:lang w:val="en-US"/>
        </w:rPr>
      </w:pPr>
      <w:r w:rsidRPr="00FC5C84">
        <w:rPr>
          <w:rFonts w:ascii="Palatino Linotype" w:eastAsiaTheme="minorEastAsia" w:hAnsi="Palatino Linotype" w:cstheme="majorBidi"/>
          <w:highlight w:val="cyan"/>
          <w:lang w:val="en-US"/>
        </w:rPr>
        <w:t xml:space="preserve">It is charged for a service that an independent </w:t>
      </w:r>
      <w:r w:rsidR="00292749" w:rsidRPr="00FC5C84">
        <w:rPr>
          <w:rFonts w:ascii="Palatino Linotype" w:eastAsiaTheme="minorEastAsia" w:hAnsi="Palatino Linotype" w:cstheme="majorBidi"/>
          <w:highlight w:val="cyan"/>
          <w:lang w:val="en-US"/>
        </w:rPr>
        <w:t>party</w:t>
      </w:r>
      <w:r w:rsidRPr="00FC5C84">
        <w:rPr>
          <w:rFonts w:ascii="Palatino Linotype" w:eastAsiaTheme="minorEastAsia" w:hAnsi="Palatino Linotype" w:cstheme="majorBidi"/>
          <w:highlight w:val="cyan"/>
          <w:lang w:val="en-US"/>
        </w:rPr>
        <w:t xml:space="preserve"> in comparable circumstances would have been willing to pay for if performed for it by an independent party or would have performed in-house for itself; and</w:t>
      </w:r>
    </w:p>
    <w:p w14:paraId="4A02651A" w14:textId="357C8AE5" w:rsidR="00DB0EF7" w:rsidRPr="00FC5C84" w:rsidRDefault="00DB0EF7" w:rsidP="00040A6D">
      <w:pPr>
        <w:pStyle w:val="ListParagraph"/>
        <w:numPr>
          <w:ilvl w:val="0"/>
          <w:numId w:val="27"/>
        </w:numPr>
        <w:spacing w:after="120"/>
        <w:ind w:left="1890" w:hanging="540"/>
        <w:contextualSpacing w:val="0"/>
        <w:jc w:val="both"/>
        <w:rPr>
          <w:rFonts w:ascii="Palatino Linotype" w:eastAsiaTheme="minorEastAsia" w:hAnsi="Palatino Linotype" w:cstheme="majorBidi"/>
          <w:highlight w:val="cyan"/>
          <w:lang w:val="en-US"/>
        </w:rPr>
      </w:pPr>
      <w:r w:rsidRPr="00FC5C84">
        <w:rPr>
          <w:rFonts w:ascii="Palatino Linotype" w:eastAsiaTheme="minorEastAsia" w:hAnsi="Palatino Linotype" w:cstheme="majorBidi"/>
          <w:highlight w:val="cyan"/>
          <w:lang w:val="en-US"/>
        </w:rPr>
        <w:t>Its amounts correspond to that which would have been agreed between independent parties for comparable services in comparable circumstances.</w:t>
      </w:r>
    </w:p>
    <w:p w14:paraId="160BE567" w14:textId="1E6CC2FA" w:rsidR="00781DA1" w:rsidRPr="00FC5C84" w:rsidRDefault="00EA5605" w:rsidP="00040A6D">
      <w:pPr>
        <w:pStyle w:val="ListParagraph"/>
        <w:numPr>
          <w:ilvl w:val="0"/>
          <w:numId w:val="24"/>
        </w:numPr>
        <w:spacing w:after="120"/>
        <w:ind w:left="1350" w:hanging="720"/>
        <w:contextualSpacing w:val="0"/>
        <w:jc w:val="both"/>
        <w:rPr>
          <w:rFonts w:ascii="Palatino Linotype" w:eastAsiaTheme="minorEastAsia" w:hAnsi="Palatino Linotype" w:cstheme="majorBidi"/>
          <w:highlight w:val="cyan"/>
          <w:lang w:val="en-US"/>
        </w:rPr>
      </w:pPr>
      <w:r w:rsidRPr="00FC5C84">
        <w:rPr>
          <w:rFonts w:ascii="Palatino Linotype" w:eastAsiaTheme="minorEastAsia" w:hAnsi="Palatino Linotype" w:cstheme="majorBidi"/>
          <w:highlight w:val="cyan"/>
          <w:lang w:val="en-US"/>
        </w:rPr>
        <w:t xml:space="preserve">An activity between taxpayer and associated parties shall not result in any chargeable service if it is considered to </w:t>
      </w:r>
      <w:r w:rsidR="002E2465" w:rsidRPr="00FC5C84">
        <w:rPr>
          <w:rFonts w:ascii="Palatino Linotype" w:eastAsiaTheme="minorEastAsia" w:hAnsi="Palatino Linotype" w:cstheme="majorBidi"/>
          <w:highlight w:val="cyan"/>
          <w:lang w:val="en-US"/>
        </w:rPr>
        <w:t>be a shareholder activity</w:t>
      </w:r>
      <w:r w:rsidRPr="00FC5C84">
        <w:rPr>
          <w:rFonts w:ascii="Palatino Linotype" w:eastAsiaTheme="minorEastAsia" w:hAnsi="Palatino Linotype" w:cstheme="majorBidi"/>
          <w:highlight w:val="cyan"/>
          <w:lang w:val="en-US"/>
        </w:rPr>
        <w:t xml:space="preserve">, or if </w:t>
      </w:r>
      <w:proofErr w:type="gramStart"/>
      <w:r w:rsidRPr="00FC5C84">
        <w:rPr>
          <w:rFonts w:ascii="Palatino Linotype" w:eastAsiaTheme="minorEastAsia" w:hAnsi="Palatino Linotype" w:cstheme="majorBidi"/>
          <w:highlight w:val="cyan"/>
          <w:lang w:val="en-US"/>
        </w:rPr>
        <w:t>it</w:t>
      </w:r>
      <w:proofErr w:type="gramEnd"/>
      <w:r w:rsidRPr="00FC5C84">
        <w:rPr>
          <w:rFonts w:ascii="Palatino Linotype" w:eastAsiaTheme="minorEastAsia" w:hAnsi="Palatino Linotype" w:cstheme="majorBidi"/>
          <w:highlight w:val="cyan"/>
          <w:lang w:val="en-US"/>
        </w:rPr>
        <w:t xml:space="preserve"> coveys benefit only though passive association or provides only incidental benefit or if it is considered duplicative activities that do not benefit the recipient. </w:t>
      </w:r>
    </w:p>
    <w:p w14:paraId="0839B81A" w14:textId="5A6043A7" w:rsidR="00EA5605" w:rsidRPr="00FC5C84" w:rsidRDefault="00EA5605" w:rsidP="00040A6D">
      <w:pPr>
        <w:pStyle w:val="ListParagraph"/>
        <w:numPr>
          <w:ilvl w:val="0"/>
          <w:numId w:val="24"/>
        </w:numPr>
        <w:spacing w:after="120"/>
        <w:ind w:left="1350" w:hanging="720"/>
        <w:contextualSpacing w:val="0"/>
        <w:jc w:val="both"/>
        <w:rPr>
          <w:rFonts w:ascii="Palatino Linotype" w:eastAsiaTheme="minorEastAsia" w:hAnsi="Palatino Linotype" w:cstheme="majorBidi"/>
          <w:highlight w:val="cyan"/>
          <w:lang w:val="en-US"/>
        </w:rPr>
      </w:pPr>
      <w:r w:rsidRPr="00FC5C84">
        <w:rPr>
          <w:rFonts w:ascii="Palatino Linotype" w:eastAsiaTheme="minorEastAsia" w:hAnsi="Palatino Linotype" w:cstheme="majorBidi"/>
          <w:highlight w:val="cyan"/>
          <w:lang w:val="en-US"/>
        </w:rPr>
        <w:lastRenderedPageBreak/>
        <w:t xml:space="preserve">In applying </w:t>
      </w:r>
      <w:r w:rsidR="00BC127B" w:rsidRPr="00FC5C84">
        <w:rPr>
          <w:rFonts w:ascii="Palatino Linotype" w:eastAsiaTheme="minorEastAsia" w:hAnsi="Palatino Linotype" w:cstheme="majorBidi"/>
          <w:highlight w:val="cyan"/>
          <w:lang w:val="en-US"/>
        </w:rPr>
        <w:t xml:space="preserve">and documenting the </w:t>
      </w:r>
      <w:r w:rsidRPr="00FC5C84">
        <w:rPr>
          <w:rFonts w:ascii="Palatino Linotype" w:eastAsiaTheme="minorEastAsia" w:hAnsi="Palatino Linotype" w:cstheme="majorBidi"/>
          <w:highlight w:val="cyan"/>
          <w:lang w:val="en-US"/>
        </w:rPr>
        <w:t xml:space="preserve">arm’s length </w:t>
      </w:r>
      <w:r w:rsidR="00292749" w:rsidRPr="00FC5C84">
        <w:rPr>
          <w:rFonts w:ascii="Palatino Linotype" w:eastAsiaTheme="minorEastAsia" w:hAnsi="Palatino Linotype" w:cstheme="majorBidi"/>
          <w:highlight w:val="cyan"/>
          <w:lang w:val="en-US"/>
        </w:rPr>
        <w:t xml:space="preserve">price </w:t>
      </w:r>
      <w:r w:rsidRPr="00FC5C84">
        <w:rPr>
          <w:rFonts w:ascii="Palatino Linotype" w:eastAsiaTheme="minorEastAsia" w:hAnsi="Palatino Linotype" w:cstheme="majorBidi"/>
          <w:highlight w:val="cyan"/>
          <w:lang w:val="en-US"/>
        </w:rPr>
        <w:t>for low value adding intra-group services</w:t>
      </w:r>
      <w:r w:rsidR="00FB13E5" w:rsidRPr="00FC5C84">
        <w:rPr>
          <w:rFonts w:ascii="Palatino Linotype" w:eastAsiaTheme="minorEastAsia" w:hAnsi="Palatino Linotype" w:cstheme="majorBidi"/>
          <w:highlight w:val="cyan"/>
          <w:lang w:val="en-US"/>
        </w:rPr>
        <w:t xml:space="preserve">, </w:t>
      </w:r>
      <w:r w:rsidRPr="00FC5C84">
        <w:rPr>
          <w:rFonts w:ascii="Palatino Linotype" w:eastAsiaTheme="minorEastAsia" w:hAnsi="Palatino Linotype" w:cstheme="majorBidi"/>
          <w:highlight w:val="cyan"/>
          <w:lang w:val="en-US"/>
        </w:rPr>
        <w:t>taxpayer may apply</w:t>
      </w:r>
      <w:r w:rsidR="0030459A" w:rsidRPr="00FC5C84">
        <w:rPr>
          <w:rFonts w:ascii="Palatino Linotype" w:eastAsiaTheme="minorEastAsia" w:hAnsi="Palatino Linotype" w:cstheme="majorBidi"/>
          <w:highlight w:val="cyan"/>
          <w:lang w:val="en-US"/>
        </w:rPr>
        <w:t xml:space="preserve"> a</w:t>
      </w:r>
      <w:r w:rsidRPr="00FC5C84">
        <w:rPr>
          <w:rFonts w:ascii="Palatino Linotype" w:eastAsiaTheme="minorEastAsia" w:hAnsi="Palatino Linotype" w:cstheme="majorBidi"/>
          <w:highlight w:val="cyan"/>
          <w:lang w:val="en-US"/>
        </w:rPr>
        <w:t xml:space="preserve"> </w:t>
      </w:r>
      <w:r w:rsidR="00BC127B" w:rsidRPr="00FC5C84">
        <w:rPr>
          <w:rFonts w:ascii="Palatino Linotype" w:eastAsiaTheme="minorEastAsia" w:hAnsi="Palatino Linotype" w:cstheme="majorBidi"/>
          <w:highlight w:val="cyan"/>
          <w:lang w:val="en-US"/>
        </w:rPr>
        <w:t xml:space="preserve">simplified approach, which involves a simplified benefit test, a process for determining the costs associated with the </w:t>
      </w:r>
      <w:r w:rsidR="00FB13E5" w:rsidRPr="00FC5C84">
        <w:rPr>
          <w:rFonts w:ascii="Palatino Linotype" w:eastAsiaTheme="minorEastAsia" w:hAnsi="Palatino Linotype" w:cstheme="majorBidi"/>
          <w:highlight w:val="cyan"/>
          <w:lang w:val="en-US"/>
        </w:rPr>
        <w:t>low value adding intra-group services</w:t>
      </w:r>
      <w:r w:rsidR="00BC127B" w:rsidRPr="00FC5C84">
        <w:rPr>
          <w:rFonts w:ascii="Palatino Linotype" w:eastAsiaTheme="minorEastAsia" w:hAnsi="Palatino Linotype" w:cstheme="majorBidi"/>
          <w:highlight w:val="cyan"/>
          <w:lang w:val="en-US"/>
        </w:rPr>
        <w:t>, the ability to use general allocation keys and a standard profit mark-up of 5%</w:t>
      </w:r>
      <w:r w:rsidR="00B868EB" w:rsidRPr="00FC5C84">
        <w:rPr>
          <w:rFonts w:ascii="Palatino Linotype" w:eastAsiaTheme="minorEastAsia" w:hAnsi="Palatino Linotype" w:cstheme="majorBidi"/>
          <w:highlight w:val="cyan"/>
          <w:lang w:val="en-US"/>
        </w:rPr>
        <w:t xml:space="preserve"> of the relevant costs</w:t>
      </w:r>
      <w:r w:rsidR="00350C77" w:rsidRPr="00FC5C84">
        <w:rPr>
          <w:rFonts w:ascii="Palatino Linotype" w:eastAsiaTheme="minorEastAsia" w:hAnsi="Palatino Linotype" w:cstheme="majorBidi"/>
          <w:highlight w:val="cyan"/>
          <w:lang w:val="en-US"/>
        </w:rPr>
        <w:t>, in providing those services</w:t>
      </w:r>
      <w:r w:rsidR="00BC127B" w:rsidRPr="00FC5C84">
        <w:rPr>
          <w:rFonts w:ascii="Palatino Linotype" w:eastAsiaTheme="minorEastAsia" w:hAnsi="Palatino Linotype" w:cstheme="majorBidi"/>
          <w:highlight w:val="cyan"/>
          <w:lang w:val="en-US"/>
        </w:rPr>
        <w:t>.</w:t>
      </w:r>
    </w:p>
    <w:p w14:paraId="79A81709" w14:textId="32A30277" w:rsidR="00E33355" w:rsidRPr="00321931" w:rsidRDefault="00E33355" w:rsidP="00E33355">
      <w:pPr>
        <w:spacing w:after="120"/>
        <w:jc w:val="both"/>
        <w:rPr>
          <w:rFonts w:ascii="Palatino Linotype" w:eastAsiaTheme="minorEastAsia" w:hAnsi="Palatino Linotype" w:cstheme="majorBidi"/>
          <w:lang w:val="en-US"/>
        </w:rPr>
      </w:pPr>
    </w:p>
    <w:p w14:paraId="32A2604E" w14:textId="463B0319" w:rsidR="00E33355" w:rsidRPr="006D1221" w:rsidRDefault="00DB0EF7" w:rsidP="00E33355">
      <w:pPr>
        <w:pStyle w:val="Heading2"/>
        <w:numPr>
          <w:ilvl w:val="0"/>
          <w:numId w:val="1"/>
        </w:numPr>
        <w:tabs>
          <w:tab w:val="left" w:pos="630"/>
        </w:tabs>
        <w:spacing w:before="0" w:after="120"/>
        <w:ind w:left="720" w:hanging="720"/>
        <w:rPr>
          <w:rFonts w:ascii="Palatino Linotype" w:eastAsiaTheme="minorEastAsia" w:hAnsi="Palatino Linotype"/>
          <w:color w:val="auto"/>
          <w:sz w:val="22"/>
          <w:szCs w:val="22"/>
          <w:highlight w:val="cyan"/>
        </w:rPr>
      </w:pPr>
      <w:bookmarkStart w:id="15" w:name="_Toc136789327"/>
      <w:r w:rsidRPr="006D1221">
        <w:rPr>
          <w:rFonts w:ascii="Palatino Linotype" w:eastAsiaTheme="minorEastAsia" w:hAnsi="Palatino Linotype"/>
          <w:color w:val="auto"/>
          <w:sz w:val="22"/>
          <w:szCs w:val="22"/>
          <w:highlight w:val="cyan"/>
        </w:rPr>
        <w:t xml:space="preserve">Special considerations for </w:t>
      </w:r>
      <w:r w:rsidR="006D1221" w:rsidRPr="006D1221">
        <w:rPr>
          <w:rFonts w:ascii="Palatino Linotype" w:eastAsiaTheme="minorEastAsia" w:hAnsi="Palatino Linotype"/>
          <w:color w:val="auto"/>
          <w:sz w:val="22"/>
          <w:szCs w:val="22"/>
          <w:highlight w:val="cyan"/>
        </w:rPr>
        <w:t>i</w:t>
      </w:r>
      <w:r w:rsidRPr="006D1221">
        <w:rPr>
          <w:rFonts w:ascii="Palatino Linotype" w:eastAsiaTheme="minorEastAsia" w:hAnsi="Palatino Linotype"/>
          <w:color w:val="auto"/>
          <w:sz w:val="22"/>
          <w:szCs w:val="22"/>
          <w:highlight w:val="cyan"/>
        </w:rPr>
        <w:t xml:space="preserve">ntra-group </w:t>
      </w:r>
      <w:r w:rsidR="006D1221" w:rsidRPr="006D1221">
        <w:rPr>
          <w:rFonts w:ascii="Palatino Linotype" w:eastAsiaTheme="minorEastAsia" w:hAnsi="Palatino Linotype"/>
          <w:color w:val="auto"/>
          <w:sz w:val="22"/>
          <w:szCs w:val="22"/>
          <w:highlight w:val="cyan"/>
        </w:rPr>
        <w:t>l</w:t>
      </w:r>
      <w:r w:rsidRPr="006D1221">
        <w:rPr>
          <w:rFonts w:ascii="Palatino Linotype" w:eastAsiaTheme="minorEastAsia" w:hAnsi="Palatino Linotype"/>
          <w:color w:val="auto"/>
          <w:sz w:val="22"/>
          <w:szCs w:val="22"/>
          <w:highlight w:val="cyan"/>
        </w:rPr>
        <w:t>oans</w:t>
      </w:r>
      <w:bookmarkEnd w:id="15"/>
    </w:p>
    <w:p w14:paraId="60CABFD6" w14:textId="06812636" w:rsidR="00A27A44" w:rsidRPr="006D1221" w:rsidRDefault="00EC066B" w:rsidP="00040A6D">
      <w:pPr>
        <w:pStyle w:val="ListParagraph"/>
        <w:numPr>
          <w:ilvl w:val="0"/>
          <w:numId w:val="34"/>
        </w:numPr>
        <w:spacing w:after="120"/>
        <w:ind w:left="1350" w:hanging="720"/>
        <w:contextualSpacing w:val="0"/>
        <w:jc w:val="both"/>
        <w:rPr>
          <w:rFonts w:ascii="Palatino Linotype" w:eastAsiaTheme="minorEastAsia" w:hAnsi="Palatino Linotype" w:cstheme="majorBidi"/>
          <w:highlight w:val="cyan"/>
          <w:lang w:val="en-US"/>
        </w:rPr>
      </w:pPr>
      <w:r w:rsidRPr="006D1221">
        <w:rPr>
          <w:rFonts w:ascii="Palatino Linotype" w:eastAsiaTheme="minorEastAsia" w:hAnsi="Palatino Linotype" w:cstheme="majorBidi"/>
          <w:highlight w:val="cyan"/>
          <w:lang w:val="en-US"/>
        </w:rPr>
        <w:t xml:space="preserve">The application of arm’s length principle </w:t>
      </w:r>
      <w:proofErr w:type="gramStart"/>
      <w:r w:rsidRPr="006D1221">
        <w:rPr>
          <w:rFonts w:ascii="Palatino Linotype" w:eastAsiaTheme="minorEastAsia" w:hAnsi="Palatino Linotype" w:cstheme="majorBidi"/>
          <w:highlight w:val="cyan"/>
          <w:lang w:val="en-US"/>
        </w:rPr>
        <w:t>with regard to</w:t>
      </w:r>
      <w:proofErr w:type="gramEnd"/>
      <w:r w:rsidRPr="006D1221">
        <w:rPr>
          <w:rFonts w:ascii="Palatino Linotype" w:eastAsiaTheme="minorEastAsia" w:hAnsi="Palatino Linotype" w:cstheme="majorBidi"/>
          <w:highlight w:val="cyan"/>
          <w:lang w:val="en-US"/>
        </w:rPr>
        <w:t xml:space="preserve"> intra-group loans between associated parties is relevant not only in determining the rate of interest provided for in a loan contract is at arm’s length rate, but also whether prima facie loan can be regarded as a loan in its entirety or </w:t>
      </w:r>
      <w:r w:rsidR="00B53521" w:rsidRPr="006D1221">
        <w:rPr>
          <w:rFonts w:ascii="Palatino Linotype" w:eastAsiaTheme="minorEastAsia" w:hAnsi="Palatino Linotype" w:cstheme="majorBidi"/>
          <w:highlight w:val="cyan"/>
          <w:lang w:val="en-US"/>
        </w:rPr>
        <w:t>part or</w:t>
      </w:r>
      <w:r w:rsidRPr="006D1221">
        <w:rPr>
          <w:rFonts w:ascii="Palatino Linotype" w:eastAsiaTheme="minorEastAsia" w:hAnsi="Palatino Linotype" w:cstheme="majorBidi"/>
          <w:highlight w:val="cyan"/>
          <w:lang w:val="en-US"/>
        </w:rPr>
        <w:t xml:space="preserve"> should be regarded as some other kind of payment, in particular a contribution to equity capital.</w:t>
      </w:r>
    </w:p>
    <w:p w14:paraId="5AD6F939" w14:textId="31BA030A" w:rsidR="006F2819" w:rsidRPr="00053388" w:rsidRDefault="006F2819" w:rsidP="00040A6D">
      <w:pPr>
        <w:pStyle w:val="ListParagraph"/>
        <w:numPr>
          <w:ilvl w:val="0"/>
          <w:numId w:val="34"/>
        </w:numPr>
        <w:spacing w:after="120"/>
        <w:ind w:left="1350" w:hanging="720"/>
        <w:contextualSpacing w:val="0"/>
        <w:jc w:val="both"/>
        <w:rPr>
          <w:rFonts w:ascii="Palatino Linotype" w:eastAsiaTheme="minorEastAsia" w:hAnsi="Palatino Linotype" w:cstheme="majorBidi"/>
          <w:highlight w:val="cyan"/>
          <w:lang w:val="en-US"/>
        </w:rPr>
      </w:pPr>
      <w:r w:rsidRPr="00053388">
        <w:rPr>
          <w:rFonts w:ascii="Palatino Linotype" w:eastAsiaTheme="minorEastAsia" w:hAnsi="Palatino Linotype" w:cstheme="majorBidi"/>
          <w:highlight w:val="cyan"/>
          <w:lang w:val="en-US"/>
        </w:rPr>
        <w:t>In accurately delineating an intra-group loan transaction, consideration shall be given to the following factors:</w:t>
      </w:r>
    </w:p>
    <w:p w14:paraId="4813665B" w14:textId="5BC0FCD1" w:rsidR="006F2819" w:rsidRPr="00276111" w:rsidRDefault="006F2819" w:rsidP="00040A6D">
      <w:pPr>
        <w:pStyle w:val="ListParagraph"/>
        <w:numPr>
          <w:ilvl w:val="0"/>
          <w:numId w:val="28"/>
        </w:numPr>
        <w:spacing w:after="120"/>
        <w:ind w:left="1890" w:hanging="540"/>
        <w:jc w:val="both"/>
        <w:rPr>
          <w:rFonts w:ascii="Palatino Linotype" w:eastAsiaTheme="minorEastAsia" w:hAnsi="Palatino Linotype" w:cstheme="majorBidi"/>
          <w:highlight w:val="cyan"/>
          <w:lang w:val="en-US"/>
        </w:rPr>
      </w:pPr>
      <w:r w:rsidRPr="00276111">
        <w:rPr>
          <w:rFonts w:ascii="Palatino Linotype" w:eastAsiaTheme="minorEastAsia" w:hAnsi="Palatino Linotype" w:cstheme="majorBidi"/>
          <w:highlight w:val="cyan"/>
          <w:lang w:val="en-US"/>
        </w:rPr>
        <w:t>Determination of whether a purported loan should be regarded as a loan</w:t>
      </w:r>
      <w:r w:rsidR="00350C77" w:rsidRPr="00276111">
        <w:rPr>
          <w:rFonts w:ascii="Palatino Linotype" w:eastAsiaTheme="minorEastAsia" w:hAnsi="Palatino Linotype" w:cstheme="majorBidi"/>
          <w:highlight w:val="cyan"/>
          <w:lang w:val="en-US"/>
        </w:rPr>
        <w:t xml:space="preserve"> in its entirety or </w:t>
      </w:r>
      <w:proofErr w:type="gramStart"/>
      <w:r w:rsidR="00350C77" w:rsidRPr="00276111">
        <w:rPr>
          <w:rFonts w:ascii="Palatino Linotype" w:eastAsiaTheme="minorEastAsia" w:hAnsi="Palatino Linotype" w:cstheme="majorBidi"/>
          <w:highlight w:val="cyan"/>
          <w:lang w:val="en-US"/>
        </w:rPr>
        <w:t>part</w:t>
      </w:r>
      <w:r w:rsidRPr="00276111">
        <w:rPr>
          <w:rFonts w:ascii="Palatino Linotype" w:eastAsiaTheme="minorEastAsia" w:hAnsi="Palatino Linotype" w:cstheme="majorBidi"/>
          <w:highlight w:val="cyan"/>
          <w:lang w:val="en-US"/>
        </w:rPr>
        <w:t>;</w:t>
      </w:r>
      <w:proofErr w:type="gramEnd"/>
    </w:p>
    <w:p w14:paraId="5D599DA8" w14:textId="0221F436" w:rsidR="006F2819" w:rsidRPr="00276111" w:rsidRDefault="006F2819" w:rsidP="00040A6D">
      <w:pPr>
        <w:pStyle w:val="ListParagraph"/>
        <w:numPr>
          <w:ilvl w:val="0"/>
          <w:numId w:val="28"/>
        </w:numPr>
        <w:spacing w:after="120"/>
        <w:ind w:left="1890" w:hanging="540"/>
        <w:jc w:val="both"/>
        <w:rPr>
          <w:rFonts w:ascii="Palatino Linotype" w:eastAsiaTheme="minorEastAsia" w:hAnsi="Palatino Linotype" w:cstheme="majorBidi"/>
          <w:highlight w:val="cyan"/>
          <w:lang w:val="en-US"/>
        </w:rPr>
      </w:pPr>
      <w:r w:rsidRPr="00276111">
        <w:rPr>
          <w:rFonts w:ascii="Palatino Linotype" w:eastAsiaTheme="minorEastAsia" w:hAnsi="Palatino Linotype" w:cstheme="majorBidi"/>
          <w:highlight w:val="cyan"/>
          <w:lang w:val="en-US"/>
        </w:rPr>
        <w:t xml:space="preserve">Identifying the commercial or financial relations between the parties and the conditions and economically relevant circumstances attaching to those </w:t>
      </w:r>
      <w:proofErr w:type="gramStart"/>
      <w:r w:rsidRPr="00276111">
        <w:rPr>
          <w:rFonts w:ascii="Palatino Linotype" w:eastAsiaTheme="minorEastAsia" w:hAnsi="Palatino Linotype" w:cstheme="majorBidi"/>
          <w:highlight w:val="cyan"/>
          <w:lang w:val="en-US"/>
        </w:rPr>
        <w:t>relations;</w:t>
      </w:r>
      <w:proofErr w:type="gramEnd"/>
    </w:p>
    <w:p w14:paraId="6BA26DE4" w14:textId="594A561B" w:rsidR="006F2819" w:rsidRPr="00276111" w:rsidRDefault="009D3B91" w:rsidP="00040A6D">
      <w:pPr>
        <w:pStyle w:val="ListParagraph"/>
        <w:numPr>
          <w:ilvl w:val="0"/>
          <w:numId w:val="28"/>
        </w:numPr>
        <w:spacing w:after="120"/>
        <w:ind w:left="1890" w:hanging="540"/>
        <w:jc w:val="both"/>
        <w:rPr>
          <w:rFonts w:ascii="Palatino Linotype" w:eastAsiaTheme="minorEastAsia" w:hAnsi="Palatino Linotype" w:cstheme="majorBidi"/>
          <w:highlight w:val="cyan"/>
          <w:lang w:val="en-US"/>
        </w:rPr>
      </w:pPr>
      <w:r w:rsidRPr="00276111">
        <w:rPr>
          <w:rFonts w:ascii="Palatino Linotype" w:eastAsiaTheme="minorEastAsia" w:hAnsi="Palatino Linotype" w:cstheme="majorBidi"/>
          <w:highlight w:val="cyan"/>
          <w:lang w:val="en-US"/>
        </w:rPr>
        <w:t>T</w:t>
      </w:r>
      <w:r w:rsidR="006F2819" w:rsidRPr="00276111">
        <w:rPr>
          <w:rFonts w:ascii="Palatino Linotype" w:eastAsiaTheme="minorEastAsia" w:hAnsi="Palatino Linotype" w:cstheme="majorBidi"/>
          <w:highlight w:val="cyan"/>
          <w:lang w:val="en-US"/>
        </w:rPr>
        <w:t>he economically relevant characteristics of</w:t>
      </w:r>
      <w:r w:rsidR="00C470A7" w:rsidRPr="00276111">
        <w:rPr>
          <w:rFonts w:ascii="Palatino Linotype" w:eastAsiaTheme="minorEastAsia" w:hAnsi="Palatino Linotype" w:cstheme="majorBidi"/>
          <w:highlight w:val="cyan"/>
          <w:lang w:val="en-US"/>
        </w:rPr>
        <w:t xml:space="preserve"> actual intra-group loan transaction.</w:t>
      </w:r>
    </w:p>
    <w:p w14:paraId="7C73F666" w14:textId="6F289388" w:rsidR="008F4F11" w:rsidRPr="00276111" w:rsidRDefault="008F4F11" w:rsidP="00040A6D">
      <w:pPr>
        <w:pStyle w:val="ListParagraph"/>
        <w:numPr>
          <w:ilvl w:val="0"/>
          <w:numId w:val="34"/>
        </w:numPr>
        <w:spacing w:after="120"/>
        <w:ind w:left="1350" w:hanging="720"/>
        <w:contextualSpacing w:val="0"/>
        <w:jc w:val="both"/>
        <w:rPr>
          <w:rFonts w:ascii="Palatino Linotype" w:eastAsiaTheme="minorEastAsia" w:hAnsi="Palatino Linotype" w:cstheme="majorBidi"/>
          <w:highlight w:val="cyan"/>
          <w:lang w:val="en-US"/>
        </w:rPr>
      </w:pPr>
      <w:r w:rsidRPr="00276111">
        <w:rPr>
          <w:rFonts w:ascii="Palatino Linotype" w:eastAsiaTheme="minorEastAsia" w:hAnsi="Palatino Linotype" w:cstheme="majorBidi"/>
          <w:highlight w:val="cyan"/>
          <w:lang w:val="en-US"/>
        </w:rPr>
        <w:t xml:space="preserve">In accurately delineating advance of funds, the </w:t>
      </w:r>
      <w:r w:rsidR="00386DFB" w:rsidRPr="00276111">
        <w:rPr>
          <w:rFonts w:ascii="Palatino Linotype" w:eastAsiaTheme="minorEastAsia" w:hAnsi="Palatino Linotype" w:cstheme="majorBidi"/>
          <w:highlight w:val="cyan"/>
          <w:lang w:val="en-US"/>
        </w:rPr>
        <w:t xml:space="preserve">following </w:t>
      </w:r>
      <w:r w:rsidRPr="00276111">
        <w:rPr>
          <w:rFonts w:ascii="Palatino Linotype" w:eastAsiaTheme="minorEastAsia" w:hAnsi="Palatino Linotype" w:cstheme="majorBidi"/>
          <w:highlight w:val="cyan"/>
          <w:lang w:val="en-US"/>
        </w:rPr>
        <w:t xml:space="preserve">economically relevant characteristics </w:t>
      </w:r>
      <w:r w:rsidR="00386DFB" w:rsidRPr="00276111">
        <w:rPr>
          <w:rFonts w:ascii="Palatino Linotype" w:eastAsiaTheme="minorEastAsia" w:hAnsi="Palatino Linotype" w:cstheme="majorBidi"/>
          <w:highlight w:val="cyan"/>
          <w:lang w:val="en-US"/>
        </w:rPr>
        <w:t>may be</w:t>
      </w:r>
      <w:r w:rsidRPr="00276111">
        <w:rPr>
          <w:rFonts w:ascii="Palatino Linotype" w:eastAsiaTheme="minorEastAsia" w:hAnsi="Palatino Linotype" w:cstheme="majorBidi"/>
          <w:highlight w:val="cyan"/>
          <w:lang w:val="en-US"/>
        </w:rPr>
        <w:t xml:space="preserve"> useful indicators, depending on the facts and circumstances</w:t>
      </w:r>
      <w:r w:rsidR="00386DFB" w:rsidRPr="00276111">
        <w:rPr>
          <w:rFonts w:ascii="Palatino Linotype" w:eastAsiaTheme="minorEastAsia" w:hAnsi="Palatino Linotype" w:cstheme="majorBidi"/>
          <w:highlight w:val="cyan"/>
          <w:lang w:val="en-US"/>
        </w:rPr>
        <w:t>;</w:t>
      </w:r>
      <w:r w:rsidRPr="00276111">
        <w:rPr>
          <w:rFonts w:ascii="Palatino Linotype" w:eastAsiaTheme="minorEastAsia" w:hAnsi="Palatino Linotype" w:cstheme="majorBidi"/>
          <w:highlight w:val="cyan"/>
          <w:lang w:val="en-US"/>
        </w:rPr>
        <w:t xml:space="preserve"> the presence or absence of a fixed repayment date; the obligation to pay interest; the status of the funder in comparison to regular corporate creditors; the existence of financial covenants and security; the source of interest payments; the ability of the recipient of funds to obtain loans from unrelated lending institutions; the extent to which the advance is used to acquire capital assets; the failure of the purported debtor to repay on the due date</w:t>
      </w:r>
      <w:r w:rsidR="00F06B50" w:rsidRPr="00276111">
        <w:rPr>
          <w:rFonts w:ascii="Palatino Linotype" w:eastAsiaTheme="minorEastAsia" w:hAnsi="Palatino Linotype" w:cstheme="majorBidi"/>
          <w:highlight w:val="cyan"/>
          <w:lang w:val="en-US"/>
        </w:rPr>
        <w:t xml:space="preserve"> or </w:t>
      </w:r>
      <w:r w:rsidR="00FD50B9" w:rsidRPr="00276111">
        <w:rPr>
          <w:rFonts w:ascii="Palatino Linotype" w:eastAsiaTheme="minorEastAsia" w:hAnsi="Palatino Linotype" w:cstheme="majorBidi"/>
          <w:highlight w:val="cyan"/>
          <w:lang w:val="en-US"/>
        </w:rPr>
        <w:t xml:space="preserve">to </w:t>
      </w:r>
      <w:r w:rsidR="00F06B50" w:rsidRPr="00276111">
        <w:rPr>
          <w:rFonts w:ascii="Palatino Linotype" w:eastAsiaTheme="minorEastAsia" w:hAnsi="Palatino Linotype" w:cstheme="majorBidi"/>
          <w:highlight w:val="cyan"/>
          <w:lang w:val="en-US"/>
        </w:rPr>
        <w:t xml:space="preserve">seek </w:t>
      </w:r>
      <w:r w:rsidR="00FD50B9" w:rsidRPr="00276111">
        <w:rPr>
          <w:rFonts w:ascii="Palatino Linotype" w:eastAsiaTheme="minorEastAsia" w:hAnsi="Palatino Linotype" w:cstheme="majorBidi"/>
          <w:highlight w:val="cyan"/>
          <w:lang w:val="en-US"/>
        </w:rPr>
        <w:t xml:space="preserve">a </w:t>
      </w:r>
      <w:r w:rsidR="00F06B50" w:rsidRPr="00276111">
        <w:rPr>
          <w:rFonts w:ascii="Palatino Linotype" w:eastAsiaTheme="minorEastAsia" w:hAnsi="Palatino Linotype" w:cstheme="majorBidi"/>
          <w:highlight w:val="cyan"/>
          <w:lang w:val="en-US"/>
        </w:rPr>
        <w:t>postponement</w:t>
      </w:r>
      <w:r w:rsidR="00D044BE" w:rsidRPr="00276111">
        <w:rPr>
          <w:rFonts w:ascii="Palatino Linotype" w:eastAsiaTheme="minorEastAsia" w:hAnsi="Palatino Linotype" w:cstheme="majorBidi"/>
          <w:highlight w:val="cyan"/>
          <w:lang w:val="en-US"/>
        </w:rPr>
        <w:t>; thinness of capital structure and failure to enforce payments.</w:t>
      </w:r>
    </w:p>
    <w:p w14:paraId="02B0C398" w14:textId="4316470C" w:rsidR="00B138DA" w:rsidRPr="00276111" w:rsidRDefault="00B138DA" w:rsidP="00040A6D">
      <w:pPr>
        <w:pStyle w:val="ListParagraph"/>
        <w:numPr>
          <w:ilvl w:val="0"/>
          <w:numId w:val="34"/>
        </w:numPr>
        <w:spacing w:after="120"/>
        <w:ind w:left="1350" w:hanging="720"/>
        <w:contextualSpacing w:val="0"/>
        <w:jc w:val="both"/>
        <w:rPr>
          <w:rFonts w:ascii="Palatino Linotype" w:eastAsiaTheme="minorEastAsia" w:hAnsi="Palatino Linotype" w:cstheme="majorBidi"/>
          <w:highlight w:val="cyan"/>
          <w:lang w:val="en-US"/>
        </w:rPr>
      </w:pPr>
      <w:r w:rsidRPr="00276111">
        <w:rPr>
          <w:rFonts w:ascii="Palatino Linotype" w:eastAsiaTheme="minorEastAsia" w:hAnsi="Palatino Linotype" w:cstheme="majorBidi"/>
          <w:highlight w:val="cyan"/>
          <w:lang w:val="en-US"/>
        </w:rPr>
        <w:t xml:space="preserve">In determining the arm’s length interest rate, consideration shall be given to the </w:t>
      </w:r>
      <w:proofErr w:type="gramStart"/>
      <w:r w:rsidRPr="00276111">
        <w:rPr>
          <w:rFonts w:ascii="Palatino Linotype" w:eastAsiaTheme="minorEastAsia" w:hAnsi="Palatino Linotype" w:cstheme="majorBidi"/>
          <w:highlight w:val="cyan"/>
          <w:lang w:val="en-US"/>
        </w:rPr>
        <w:t>lender’s</w:t>
      </w:r>
      <w:proofErr w:type="gramEnd"/>
      <w:r w:rsidRPr="00276111">
        <w:rPr>
          <w:rFonts w:ascii="Palatino Linotype" w:eastAsiaTheme="minorEastAsia" w:hAnsi="Palatino Linotype" w:cstheme="majorBidi"/>
          <w:highlight w:val="cyan"/>
          <w:lang w:val="en-US"/>
        </w:rPr>
        <w:t xml:space="preserve"> and borrower’s perspectives, including the creditworthiness of the borrower.</w:t>
      </w:r>
    </w:p>
    <w:p w14:paraId="27332795" w14:textId="0EED483A" w:rsidR="008F4F11" w:rsidRPr="00321931" w:rsidRDefault="008F4F11" w:rsidP="008F4F11">
      <w:pPr>
        <w:pStyle w:val="ListParagraph"/>
        <w:spacing w:after="120"/>
        <w:jc w:val="both"/>
        <w:rPr>
          <w:rFonts w:ascii="Palatino Linotype" w:eastAsiaTheme="minorEastAsia" w:hAnsi="Palatino Linotype"/>
          <w:lang w:val="en-US"/>
        </w:rPr>
      </w:pPr>
    </w:p>
    <w:p w14:paraId="5590FE32" w14:textId="2DFADEAD" w:rsidR="008F4F11" w:rsidRPr="00276111" w:rsidRDefault="008F4F11" w:rsidP="008F4F11">
      <w:pPr>
        <w:pStyle w:val="Heading2"/>
        <w:numPr>
          <w:ilvl w:val="0"/>
          <w:numId w:val="1"/>
        </w:numPr>
        <w:tabs>
          <w:tab w:val="left" w:pos="630"/>
        </w:tabs>
        <w:spacing w:before="0" w:after="120"/>
        <w:ind w:left="720" w:hanging="720"/>
        <w:rPr>
          <w:rFonts w:ascii="Palatino Linotype" w:eastAsiaTheme="minorEastAsia" w:hAnsi="Palatino Linotype"/>
          <w:color w:val="auto"/>
          <w:sz w:val="22"/>
          <w:szCs w:val="22"/>
          <w:highlight w:val="cyan"/>
        </w:rPr>
      </w:pPr>
      <w:bookmarkStart w:id="16" w:name="_Toc136789328"/>
      <w:r w:rsidRPr="00276111">
        <w:rPr>
          <w:rFonts w:ascii="Palatino Linotype" w:eastAsiaTheme="minorEastAsia" w:hAnsi="Palatino Linotype"/>
          <w:color w:val="auto"/>
          <w:sz w:val="22"/>
          <w:szCs w:val="22"/>
          <w:highlight w:val="cyan"/>
        </w:rPr>
        <w:lastRenderedPageBreak/>
        <w:t>Special considerations for Intangibles</w:t>
      </w:r>
      <w:bookmarkEnd w:id="16"/>
    </w:p>
    <w:p w14:paraId="33CA2409" w14:textId="0F6DAE17" w:rsidR="008F4F11" w:rsidRPr="006734E4" w:rsidRDefault="009D3B91" w:rsidP="00040A6D">
      <w:pPr>
        <w:pStyle w:val="ListParagraph"/>
        <w:numPr>
          <w:ilvl w:val="0"/>
          <w:numId w:val="29"/>
        </w:numPr>
        <w:spacing w:after="120"/>
        <w:ind w:left="1350" w:hanging="630"/>
        <w:contextualSpacing w:val="0"/>
        <w:jc w:val="both"/>
        <w:rPr>
          <w:rFonts w:ascii="Palatino Linotype" w:eastAsiaTheme="minorEastAsia" w:hAnsi="Palatino Linotype"/>
          <w:highlight w:val="cyan"/>
          <w:lang w:val="en-US"/>
        </w:rPr>
      </w:pPr>
      <w:r w:rsidRPr="006734E4">
        <w:rPr>
          <w:rFonts w:ascii="Palatino Linotype" w:eastAsiaTheme="minorEastAsia" w:hAnsi="Palatino Linotype"/>
          <w:highlight w:val="cyan"/>
          <w:lang w:val="en-US"/>
        </w:rPr>
        <w:t xml:space="preserve">Transactions involving the development, acquisition, enhancement, maintenance, protection, exploitation, use </w:t>
      </w:r>
      <w:r w:rsidR="00D044BE" w:rsidRPr="006734E4">
        <w:rPr>
          <w:rFonts w:ascii="Palatino Linotype" w:eastAsiaTheme="minorEastAsia" w:hAnsi="Palatino Linotype"/>
          <w:highlight w:val="cyan"/>
          <w:lang w:val="en-US"/>
        </w:rPr>
        <w:t xml:space="preserve">or right to use </w:t>
      </w:r>
      <w:r w:rsidRPr="006734E4">
        <w:rPr>
          <w:rFonts w:ascii="Palatino Linotype" w:eastAsiaTheme="minorEastAsia" w:hAnsi="Palatino Linotype"/>
          <w:highlight w:val="cyan"/>
          <w:lang w:val="en-US"/>
        </w:rPr>
        <w:t>and transfer of intangibles</w:t>
      </w:r>
      <w:r w:rsidR="00F06B50" w:rsidRPr="006734E4">
        <w:rPr>
          <w:rFonts w:ascii="Palatino Linotype" w:eastAsiaTheme="minorEastAsia" w:hAnsi="Palatino Linotype"/>
          <w:highlight w:val="cyan"/>
          <w:lang w:val="en-US"/>
        </w:rPr>
        <w:t xml:space="preserve"> between associated parties</w:t>
      </w:r>
      <w:r w:rsidRPr="006734E4">
        <w:rPr>
          <w:rFonts w:ascii="Palatino Linotype" w:eastAsiaTheme="minorEastAsia" w:hAnsi="Palatino Linotype"/>
          <w:highlight w:val="cyan"/>
          <w:lang w:val="en-US"/>
        </w:rPr>
        <w:t xml:space="preserve"> shall </w:t>
      </w:r>
      <w:r w:rsidR="00F06B50" w:rsidRPr="006734E4">
        <w:rPr>
          <w:rFonts w:ascii="Palatino Linotype" w:eastAsiaTheme="minorEastAsia" w:hAnsi="Palatino Linotype"/>
          <w:highlight w:val="cyan"/>
          <w:lang w:val="en-US"/>
        </w:rPr>
        <w:t>be considered consistent with</w:t>
      </w:r>
      <w:r w:rsidRPr="006734E4">
        <w:rPr>
          <w:rFonts w:ascii="Palatino Linotype" w:eastAsiaTheme="minorEastAsia" w:hAnsi="Palatino Linotype"/>
          <w:highlight w:val="cyan"/>
          <w:lang w:val="en-US"/>
        </w:rPr>
        <w:t xml:space="preserve"> arm’s length principle and subject to the following special considerations:</w:t>
      </w:r>
    </w:p>
    <w:p w14:paraId="301144FD" w14:textId="0ED53F9A" w:rsidR="00627FE7" w:rsidRPr="00176397" w:rsidRDefault="00627FE7" w:rsidP="00040A6D">
      <w:pPr>
        <w:pStyle w:val="ListParagraph"/>
        <w:numPr>
          <w:ilvl w:val="0"/>
          <w:numId w:val="30"/>
        </w:numPr>
        <w:spacing w:after="120"/>
        <w:ind w:left="1890" w:hanging="540"/>
        <w:contextualSpacing w:val="0"/>
        <w:jc w:val="both"/>
        <w:rPr>
          <w:rFonts w:ascii="Palatino Linotype" w:eastAsiaTheme="minorEastAsia" w:hAnsi="Palatino Linotype"/>
          <w:highlight w:val="cyan"/>
          <w:lang w:val="en-US"/>
        </w:rPr>
      </w:pPr>
      <w:r w:rsidRPr="00176397">
        <w:rPr>
          <w:rFonts w:ascii="Palatino Linotype" w:eastAsiaTheme="minorEastAsia" w:hAnsi="Palatino Linotype"/>
          <w:highlight w:val="cyan"/>
          <w:lang w:val="en-US"/>
        </w:rPr>
        <w:t xml:space="preserve">Identify the intangibles used or transferred in the transaction with specificity and the specific, economically significant risks associated with the development, enhancement, maintenance, protection, and exploitation of the </w:t>
      </w:r>
      <w:proofErr w:type="gramStart"/>
      <w:r w:rsidRPr="00176397">
        <w:rPr>
          <w:rFonts w:ascii="Palatino Linotype" w:eastAsiaTheme="minorEastAsia" w:hAnsi="Palatino Linotype"/>
          <w:highlight w:val="cyan"/>
          <w:lang w:val="en-US"/>
        </w:rPr>
        <w:t>intangibles;</w:t>
      </w:r>
      <w:proofErr w:type="gramEnd"/>
    </w:p>
    <w:p w14:paraId="25F5AC99" w14:textId="4095A1F9" w:rsidR="00627FE7" w:rsidRPr="00176397" w:rsidRDefault="0037350A" w:rsidP="00040A6D">
      <w:pPr>
        <w:pStyle w:val="ListParagraph"/>
        <w:numPr>
          <w:ilvl w:val="0"/>
          <w:numId w:val="30"/>
        </w:numPr>
        <w:spacing w:after="120"/>
        <w:ind w:left="1890" w:hanging="540"/>
        <w:contextualSpacing w:val="0"/>
        <w:jc w:val="both"/>
        <w:rPr>
          <w:rFonts w:ascii="Palatino Linotype" w:eastAsiaTheme="minorEastAsia" w:hAnsi="Palatino Linotype"/>
          <w:highlight w:val="cyan"/>
          <w:lang w:val="en-US"/>
        </w:rPr>
      </w:pPr>
      <w:r w:rsidRPr="00176397">
        <w:rPr>
          <w:rFonts w:ascii="Palatino Linotype" w:eastAsiaTheme="minorEastAsia" w:hAnsi="Palatino Linotype"/>
          <w:highlight w:val="cyan"/>
          <w:lang w:val="en-US"/>
        </w:rPr>
        <w:t xml:space="preserve">Identify the full contractual arrangements, with special emphasis on determining legal ownership of intangibles based on the terms and conditions of legal arrangements, including relevant registrations, license agreements, other relevant contracts, and other indicia of legal ownership, and the contractual rights and obligations, including contractual assumption of risks in the relations between the associated </w:t>
      </w:r>
      <w:proofErr w:type="gramStart"/>
      <w:r w:rsidRPr="00176397">
        <w:rPr>
          <w:rFonts w:ascii="Palatino Linotype" w:eastAsiaTheme="minorEastAsia" w:hAnsi="Palatino Linotype"/>
          <w:highlight w:val="cyan"/>
          <w:lang w:val="en-US"/>
        </w:rPr>
        <w:t>enterprises;</w:t>
      </w:r>
      <w:proofErr w:type="gramEnd"/>
    </w:p>
    <w:p w14:paraId="4773A7BF" w14:textId="0D6F4E5A" w:rsidR="0037350A" w:rsidRPr="00176397" w:rsidRDefault="008E4D66" w:rsidP="00040A6D">
      <w:pPr>
        <w:pStyle w:val="ListParagraph"/>
        <w:numPr>
          <w:ilvl w:val="0"/>
          <w:numId w:val="30"/>
        </w:numPr>
        <w:spacing w:after="120"/>
        <w:ind w:left="1890" w:hanging="540"/>
        <w:contextualSpacing w:val="0"/>
        <w:jc w:val="both"/>
        <w:rPr>
          <w:rFonts w:ascii="Palatino Linotype" w:eastAsiaTheme="minorEastAsia" w:hAnsi="Palatino Linotype"/>
          <w:highlight w:val="cyan"/>
          <w:lang w:val="en-US"/>
        </w:rPr>
      </w:pPr>
      <w:r w:rsidRPr="00176397">
        <w:rPr>
          <w:rFonts w:ascii="Palatino Linotype" w:eastAsiaTheme="minorEastAsia" w:hAnsi="Palatino Linotype"/>
          <w:highlight w:val="cyan"/>
          <w:lang w:val="en-US"/>
        </w:rPr>
        <w:t xml:space="preserve">Identify the </w:t>
      </w:r>
      <w:r w:rsidR="006734E4" w:rsidRPr="00176397">
        <w:rPr>
          <w:rFonts w:ascii="Palatino Linotype" w:eastAsiaTheme="minorEastAsia" w:hAnsi="Palatino Linotype"/>
          <w:highlight w:val="cyan"/>
          <w:lang w:val="en-US"/>
        </w:rPr>
        <w:t>parties</w:t>
      </w:r>
      <w:r w:rsidRPr="00176397">
        <w:rPr>
          <w:rFonts w:ascii="Palatino Linotype" w:eastAsiaTheme="minorEastAsia" w:hAnsi="Palatino Linotype"/>
          <w:highlight w:val="cyan"/>
          <w:lang w:val="en-US"/>
        </w:rPr>
        <w:t xml:space="preserve"> performing functions</w:t>
      </w:r>
      <w:r w:rsidR="006734E4" w:rsidRPr="00176397">
        <w:rPr>
          <w:rFonts w:ascii="Palatino Linotype" w:eastAsiaTheme="minorEastAsia" w:hAnsi="Palatino Linotype"/>
          <w:highlight w:val="cyan"/>
          <w:lang w:val="en-US"/>
        </w:rPr>
        <w:t xml:space="preserve"> </w:t>
      </w:r>
      <w:r w:rsidRPr="00176397">
        <w:rPr>
          <w:rFonts w:ascii="Palatino Linotype" w:eastAsiaTheme="minorEastAsia" w:hAnsi="Palatino Linotype"/>
          <w:highlight w:val="cyan"/>
          <w:lang w:val="en-US"/>
        </w:rPr>
        <w:t>using assets</w:t>
      </w:r>
      <w:r w:rsidR="006734E4" w:rsidRPr="00176397">
        <w:rPr>
          <w:rFonts w:ascii="Palatino Linotype" w:eastAsiaTheme="minorEastAsia" w:hAnsi="Palatino Linotype"/>
          <w:highlight w:val="cyan"/>
          <w:lang w:val="en-US"/>
        </w:rPr>
        <w:t xml:space="preserve"> </w:t>
      </w:r>
      <w:r w:rsidRPr="00176397">
        <w:rPr>
          <w:rFonts w:ascii="Palatino Linotype" w:eastAsiaTheme="minorEastAsia" w:hAnsi="Palatino Linotype"/>
          <w:highlight w:val="cyan"/>
          <w:lang w:val="en-US"/>
        </w:rPr>
        <w:t xml:space="preserve">and managing risks related to developing, enhancing, maintaining, protecting, and exploiting the intangibles by means of the functional analysis, and in particular which parties control any outsourced functions, and control specific, economically significant </w:t>
      </w:r>
      <w:proofErr w:type="gramStart"/>
      <w:r w:rsidRPr="00176397">
        <w:rPr>
          <w:rFonts w:ascii="Palatino Linotype" w:eastAsiaTheme="minorEastAsia" w:hAnsi="Palatino Linotype"/>
          <w:highlight w:val="cyan"/>
          <w:lang w:val="en-US"/>
        </w:rPr>
        <w:t>risks;</w:t>
      </w:r>
      <w:proofErr w:type="gramEnd"/>
    </w:p>
    <w:p w14:paraId="19635444" w14:textId="71BC03DF" w:rsidR="008E4D66" w:rsidRPr="00176397" w:rsidRDefault="008E4D66" w:rsidP="00040A6D">
      <w:pPr>
        <w:pStyle w:val="ListParagraph"/>
        <w:numPr>
          <w:ilvl w:val="0"/>
          <w:numId w:val="30"/>
        </w:numPr>
        <w:spacing w:after="120"/>
        <w:ind w:left="1890" w:hanging="540"/>
        <w:contextualSpacing w:val="0"/>
        <w:jc w:val="both"/>
        <w:rPr>
          <w:rFonts w:ascii="Palatino Linotype" w:eastAsiaTheme="minorEastAsia" w:hAnsi="Palatino Linotype"/>
          <w:highlight w:val="cyan"/>
          <w:lang w:val="en-US"/>
        </w:rPr>
      </w:pPr>
      <w:r w:rsidRPr="00176397">
        <w:rPr>
          <w:rFonts w:ascii="Palatino Linotype" w:eastAsiaTheme="minorEastAsia" w:hAnsi="Palatino Linotype"/>
          <w:highlight w:val="cyan"/>
          <w:lang w:val="en-US"/>
        </w:rPr>
        <w:t>Confirm the consistency between the terms of the relevant contractual</w:t>
      </w:r>
      <w:r w:rsidR="008C1C6C" w:rsidRPr="00176397">
        <w:rPr>
          <w:rFonts w:ascii="Palatino Linotype" w:eastAsiaTheme="minorEastAsia" w:hAnsi="Palatino Linotype"/>
          <w:highlight w:val="cyan"/>
          <w:lang w:val="en-US"/>
        </w:rPr>
        <w:t xml:space="preserve"> </w:t>
      </w:r>
      <w:r w:rsidRPr="00176397">
        <w:rPr>
          <w:rFonts w:ascii="Palatino Linotype" w:eastAsiaTheme="minorEastAsia" w:hAnsi="Palatino Linotype"/>
          <w:highlight w:val="cyan"/>
          <w:lang w:val="en-US"/>
        </w:rPr>
        <w:t>arrangements and the conduct of the parties, and determine whether</w:t>
      </w:r>
      <w:r w:rsidR="008C1C6C" w:rsidRPr="00176397">
        <w:rPr>
          <w:rFonts w:ascii="Palatino Linotype" w:eastAsiaTheme="minorEastAsia" w:hAnsi="Palatino Linotype"/>
          <w:highlight w:val="cyan"/>
          <w:lang w:val="en-US"/>
        </w:rPr>
        <w:t xml:space="preserve"> </w:t>
      </w:r>
      <w:r w:rsidRPr="00176397">
        <w:rPr>
          <w:rFonts w:ascii="Palatino Linotype" w:eastAsiaTheme="minorEastAsia" w:hAnsi="Palatino Linotype"/>
          <w:highlight w:val="cyan"/>
          <w:lang w:val="en-US"/>
        </w:rPr>
        <w:t>the party assuming economically significant risks, controls the risks and has the financial capacity</w:t>
      </w:r>
      <w:r w:rsidR="008C1C6C" w:rsidRPr="00176397">
        <w:rPr>
          <w:rFonts w:ascii="Palatino Linotype" w:eastAsiaTheme="minorEastAsia" w:hAnsi="Palatino Linotype"/>
          <w:highlight w:val="cyan"/>
          <w:lang w:val="en-US"/>
        </w:rPr>
        <w:t xml:space="preserve"> </w:t>
      </w:r>
      <w:r w:rsidRPr="00176397">
        <w:rPr>
          <w:rFonts w:ascii="Palatino Linotype" w:eastAsiaTheme="minorEastAsia" w:hAnsi="Palatino Linotype"/>
          <w:highlight w:val="cyan"/>
          <w:lang w:val="en-US"/>
        </w:rPr>
        <w:t>to assume the risks relating to the development, enhancement,</w:t>
      </w:r>
      <w:r w:rsidR="008C1C6C" w:rsidRPr="00176397">
        <w:rPr>
          <w:rFonts w:ascii="Palatino Linotype" w:eastAsiaTheme="minorEastAsia" w:hAnsi="Palatino Linotype"/>
          <w:highlight w:val="cyan"/>
          <w:lang w:val="en-US"/>
        </w:rPr>
        <w:t xml:space="preserve"> </w:t>
      </w:r>
      <w:r w:rsidRPr="00176397">
        <w:rPr>
          <w:rFonts w:ascii="Palatino Linotype" w:eastAsiaTheme="minorEastAsia" w:hAnsi="Palatino Linotype"/>
          <w:highlight w:val="cyan"/>
          <w:lang w:val="en-US"/>
        </w:rPr>
        <w:t xml:space="preserve">maintenance, protection, and exploitation of the </w:t>
      </w:r>
      <w:proofErr w:type="gramStart"/>
      <w:r w:rsidRPr="00176397">
        <w:rPr>
          <w:rFonts w:ascii="Palatino Linotype" w:eastAsiaTheme="minorEastAsia" w:hAnsi="Palatino Linotype"/>
          <w:highlight w:val="cyan"/>
          <w:lang w:val="en-US"/>
        </w:rPr>
        <w:t>intangibles;</w:t>
      </w:r>
      <w:proofErr w:type="gramEnd"/>
    </w:p>
    <w:p w14:paraId="54ED8729" w14:textId="24E1CAC9" w:rsidR="008C1C6C" w:rsidRPr="00176397" w:rsidRDefault="008C1C6C" w:rsidP="00040A6D">
      <w:pPr>
        <w:pStyle w:val="ListParagraph"/>
        <w:numPr>
          <w:ilvl w:val="0"/>
          <w:numId w:val="30"/>
        </w:numPr>
        <w:spacing w:after="120"/>
        <w:ind w:left="1890" w:hanging="540"/>
        <w:contextualSpacing w:val="0"/>
        <w:jc w:val="both"/>
        <w:rPr>
          <w:rFonts w:ascii="Palatino Linotype" w:eastAsiaTheme="minorEastAsia" w:hAnsi="Palatino Linotype"/>
          <w:highlight w:val="cyan"/>
          <w:lang w:val="en-US"/>
        </w:rPr>
      </w:pPr>
      <w:r w:rsidRPr="00176397">
        <w:rPr>
          <w:rFonts w:ascii="Palatino Linotype" w:eastAsiaTheme="minorEastAsia" w:hAnsi="Palatino Linotype"/>
          <w:highlight w:val="cyan"/>
          <w:lang w:val="en-US"/>
        </w:rPr>
        <w:t xml:space="preserve">Delineate the actual controlled transactions related to the development, enhancement, maintenance, protection, and exploitation of intangibles in light of the legal ownership of the intangibles, the other relevant contractual relations under relevant registrations and contracts, and the conduct of the parties, including their relevant contributions of functions, assets and risks, taking into account the framework for </w:t>
      </w:r>
      <w:r w:rsidR="00176397" w:rsidRPr="00176397">
        <w:rPr>
          <w:rFonts w:ascii="Palatino Linotype" w:eastAsiaTheme="minorEastAsia" w:hAnsi="Palatino Linotype"/>
          <w:highlight w:val="cyan"/>
          <w:lang w:val="en-US"/>
        </w:rPr>
        <w:t>analyzing</w:t>
      </w:r>
      <w:r w:rsidRPr="00176397">
        <w:rPr>
          <w:rFonts w:ascii="Palatino Linotype" w:eastAsiaTheme="minorEastAsia" w:hAnsi="Palatino Linotype"/>
          <w:highlight w:val="cyan"/>
          <w:lang w:val="en-US"/>
        </w:rPr>
        <w:t xml:space="preserve"> and allocating </w:t>
      </w:r>
      <w:proofErr w:type="gramStart"/>
      <w:r w:rsidRPr="00176397">
        <w:rPr>
          <w:rFonts w:ascii="Palatino Linotype" w:eastAsiaTheme="minorEastAsia" w:hAnsi="Palatino Linotype"/>
          <w:highlight w:val="cyan"/>
          <w:lang w:val="en-US"/>
        </w:rPr>
        <w:t>risk;</w:t>
      </w:r>
      <w:proofErr w:type="gramEnd"/>
    </w:p>
    <w:p w14:paraId="57AE5B73" w14:textId="0CD6A78E" w:rsidR="008C1C6C" w:rsidRPr="00176397" w:rsidRDefault="008C1C6C" w:rsidP="00040A6D">
      <w:pPr>
        <w:pStyle w:val="ListParagraph"/>
        <w:numPr>
          <w:ilvl w:val="0"/>
          <w:numId w:val="30"/>
        </w:numPr>
        <w:spacing w:after="120"/>
        <w:ind w:left="1890" w:hanging="540"/>
        <w:jc w:val="both"/>
        <w:rPr>
          <w:rFonts w:ascii="Palatino Linotype" w:eastAsiaTheme="minorEastAsia" w:hAnsi="Palatino Linotype"/>
          <w:highlight w:val="cyan"/>
          <w:lang w:val="en-US"/>
        </w:rPr>
      </w:pPr>
      <w:r w:rsidRPr="00176397">
        <w:rPr>
          <w:rFonts w:ascii="Palatino Linotype" w:eastAsiaTheme="minorEastAsia" w:hAnsi="Palatino Linotype"/>
          <w:highlight w:val="cyan"/>
          <w:lang w:val="en-US"/>
        </w:rPr>
        <w:t>Where possible, determine arm’s length prices for these transactions consistent with each party’s contributions of functions performed, assets used, and risks assumed.</w:t>
      </w:r>
    </w:p>
    <w:p w14:paraId="21E6B0DA" w14:textId="77777777" w:rsidR="00E31647" w:rsidRDefault="00E31647" w:rsidP="00105FDD">
      <w:pPr>
        <w:pStyle w:val="ListParagraph"/>
        <w:spacing w:after="120"/>
        <w:ind w:left="1440"/>
        <w:jc w:val="both"/>
        <w:rPr>
          <w:rFonts w:ascii="Palatino Linotype" w:eastAsiaTheme="minorEastAsia" w:hAnsi="Palatino Linotype"/>
          <w:lang w:val="en-US"/>
        </w:rPr>
      </w:pPr>
    </w:p>
    <w:p w14:paraId="3A472C0F" w14:textId="77777777" w:rsidR="00176397" w:rsidRDefault="00176397" w:rsidP="00105FDD">
      <w:pPr>
        <w:pStyle w:val="ListParagraph"/>
        <w:spacing w:after="120"/>
        <w:ind w:left="1440"/>
        <w:jc w:val="both"/>
        <w:rPr>
          <w:rFonts w:ascii="Palatino Linotype" w:eastAsiaTheme="minorEastAsia" w:hAnsi="Palatino Linotype"/>
          <w:lang w:val="en-US"/>
        </w:rPr>
      </w:pPr>
    </w:p>
    <w:p w14:paraId="727D855C" w14:textId="5DEBC868" w:rsidR="00E31647" w:rsidRDefault="00E31647" w:rsidP="00964C3C">
      <w:pPr>
        <w:pStyle w:val="Heading1"/>
        <w:rPr>
          <w:sz w:val="24"/>
          <w:szCs w:val="24"/>
        </w:rPr>
      </w:pPr>
      <w:bookmarkStart w:id="17" w:name="_Toc127661203"/>
      <w:bookmarkStart w:id="18" w:name="_Toc136789329"/>
      <w:bookmarkEnd w:id="17"/>
      <w:r w:rsidRPr="00321931">
        <w:rPr>
          <w:sz w:val="24"/>
          <w:szCs w:val="24"/>
        </w:rPr>
        <w:lastRenderedPageBreak/>
        <w:t>CHAPTER 3</w:t>
      </w:r>
      <w:r w:rsidR="00176397">
        <w:rPr>
          <w:sz w:val="24"/>
          <w:szCs w:val="24"/>
        </w:rPr>
        <w:t>:</w:t>
      </w:r>
      <w:r w:rsidRPr="00321931">
        <w:rPr>
          <w:sz w:val="24"/>
          <w:szCs w:val="24"/>
        </w:rPr>
        <w:t xml:space="preserve"> TRANSFER PRICING DOCUMENTATION</w:t>
      </w:r>
      <w:bookmarkEnd w:id="18"/>
    </w:p>
    <w:p w14:paraId="00CD19BC" w14:textId="77777777" w:rsidR="00176397" w:rsidRPr="00176397" w:rsidRDefault="00176397" w:rsidP="00176397">
      <w:pPr>
        <w:rPr>
          <w:lang w:val="en-GB"/>
        </w:rPr>
      </w:pPr>
    </w:p>
    <w:p w14:paraId="1D145DA4" w14:textId="77777777" w:rsidR="00EF77FF" w:rsidRPr="00321931" w:rsidRDefault="00834B8D" w:rsidP="00105FDD">
      <w:pPr>
        <w:pStyle w:val="Heading2"/>
        <w:numPr>
          <w:ilvl w:val="0"/>
          <w:numId w:val="1"/>
        </w:numPr>
        <w:tabs>
          <w:tab w:val="left" w:pos="630"/>
        </w:tabs>
        <w:spacing w:before="0" w:after="120"/>
        <w:ind w:left="720" w:hanging="720"/>
        <w:rPr>
          <w:rFonts w:ascii="Palatino Linotype" w:hAnsi="Palatino Linotype"/>
          <w:color w:val="auto"/>
          <w:sz w:val="22"/>
          <w:szCs w:val="22"/>
          <w:lang w:val="en-GB"/>
        </w:rPr>
      </w:pPr>
      <w:bookmarkStart w:id="19" w:name="_Toc127678840"/>
      <w:bookmarkStart w:id="20" w:name="_Toc127678891"/>
      <w:bookmarkStart w:id="21" w:name="_Toc127678933"/>
      <w:bookmarkStart w:id="22" w:name="_Toc127691702"/>
      <w:bookmarkStart w:id="23" w:name="_Toc128919331"/>
      <w:bookmarkStart w:id="24" w:name="_Toc128924063"/>
      <w:bookmarkStart w:id="25" w:name="_Toc129206051"/>
      <w:bookmarkStart w:id="26" w:name="_Toc130567755"/>
      <w:bookmarkStart w:id="27" w:name="_Toc127661204"/>
      <w:bookmarkStart w:id="28" w:name="_Toc127678841"/>
      <w:bookmarkStart w:id="29" w:name="_Toc127678892"/>
      <w:bookmarkStart w:id="30" w:name="_Toc127678934"/>
      <w:bookmarkStart w:id="31" w:name="_Toc127691703"/>
      <w:bookmarkStart w:id="32" w:name="_Toc128919332"/>
      <w:bookmarkStart w:id="33" w:name="_Toc128924064"/>
      <w:bookmarkStart w:id="34" w:name="_Toc129206052"/>
      <w:bookmarkStart w:id="35" w:name="_Toc130567756"/>
      <w:bookmarkStart w:id="36" w:name="_Toc127661205"/>
      <w:bookmarkStart w:id="37" w:name="_Toc127678842"/>
      <w:bookmarkStart w:id="38" w:name="_Toc127678893"/>
      <w:bookmarkStart w:id="39" w:name="_Toc127678935"/>
      <w:bookmarkStart w:id="40" w:name="_Toc127691704"/>
      <w:bookmarkStart w:id="41" w:name="_Toc128919333"/>
      <w:bookmarkStart w:id="42" w:name="_Toc128924065"/>
      <w:bookmarkStart w:id="43" w:name="_Toc129206053"/>
      <w:bookmarkStart w:id="44" w:name="_Toc130567757"/>
      <w:bookmarkStart w:id="45" w:name="_Toc13678933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21931">
        <w:rPr>
          <w:rFonts w:ascii="Palatino Linotype" w:hAnsi="Palatino Linotype"/>
          <w:color w:val="auto"/>
          <w:sz w:val="22"/>
          <w:szCs w:val="22"/>
          <w:lang w:val="en-GB"/>
        </w:rPr>
        <w:t>Preparation of transfer pricing documentation</w:t>
      </w:r>
      <w:bookmarkEnd w:id="45"/>
    </w:p>
    <w:p w14:paraId="31591C45" w14:textId="77777777" w:rsidR="009F282F" w:rsidRPr="00321931" w:rsidRDefault="009F282F" w:rsidP="00176397">
      <w:pPr>
        <w:pStyle w:val="ListParagraph"/>
        <w:spacing w:after="120"/>
        <w:ind w:left="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The transfer pricing documentation required under Section 68(b) of the Act shall be prepared in the following manner</w:t>
      </w:r>
      <w:r w:rsidR="00030941" w:rsidRPr="00321931">
        <w:rPr>
          <w:rFonts w:ascii="Palatino Linotype" w:eastAsiaTheme="minorEastAsia" w:hAnsi="Palatino Linotype" w:cstheme="majorBidi"/>
          <w:lang w:val="en-US"/>
        </w:rPr>
        <w:t>.</w:t>
      </w:r>
    </w:p>
    <w:p w14:paraId="429E45AE" w14:textId="4D80A233" w:rsidR="00EF77FF" w:rsidRPr="00321931" w:rsidRDefault="00030941" w:rsidP="00176397">
      <w:pPr>
        <w:pStyle w:val="ListParagraph"/>
        <w:numPr>
          <w:ilvl w:val="0"/>
          <w:numId w:val="3"/>
        </w:numPr>
        <w:spacing w:after="120"/>
        <w:ind w:left="1350" w:hanging="72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transfer pricing documentation shall include the information specified in schedule </w:t>
      </w:r>
      <w:r w:rsidR="00FB13E5" w:rsidRPr="00321931">
        <w:rPr>
          <w:rFonts w:ascii="Palatino Linotype" w:eastAsiaTheme="minorEastAsia" w:hAnsi="Palatino Linotype" w:cstheme="majorBidi"/>
          <w:lang w:val="en-US"/>
        </w:rPr>
        <w:t>2</w:t>
      </w:r>
      <w:r w:rsidR="008C1C6C"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 xml:space="preserve">of this Regulation in respect of the </w:t>
      </w:r>
      <w:r w:rsidRPr="00321931">
        <w:rPr>
          <w:rFonts w:ascii="Palatino Linotype" w:eastAsiaTheme="minorEastAsia" w:hAnsi="Palatino Linotype" w:cstheme="majorBidi"/>
          <w:lang w:val="en-US" w:bidi="dv-MV"/>
        </w:rPr>
        <w:t>following</w:t>
      </w:r>
      <w:r w:rsidRPr="00321931">
        <w:rPr>
          <w:rFonts w:ascii="Palatino Linotype" w:eastAsiaTheme="minorEastAsia" w:hAnsi="Palatino Linotype" w:cstheme="majorBidi"/>
          <w:lang w:val="en-US"/>
        </w:rPr>
        <w:t>:</w:t>
      </w:r>
    </w:p>
    <w:p w14:paraId="4CE3EA0B" w14:textId="77777777" w:rsidR="00030941" w:rsidRPr="00321931" w:rsidRDefault="00030941" w:rsidP="00030941">
      <w:pPr>
        <w:pStyle w:val="ListParagraph"/>
        <w:numPr>
          <w:ilvl w:val="1"/>
          <w:numId w:val="3"/>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transaction or arrangement </w:t>
      </w:r>
      <w:r w:rsidR="001971D9" w:rsidRPr="00321931">
        <w:rPr>
          <w:rFonts w:ascii="Palatino Linotype" w:eastAsiaTheme="minorEastAsia" w:hAnsi="Palatino Linotype" w:cstheme="majorBidi"/>
          <w:lang w:val="en-US"/>
        </w:rPr>
        <w:t xml:space="preserve">that is </w:t>
      </w:r>
      <w:r w:rsidRPr="00321931">
        <w:rPr>
          <w:rFonts w:ascii="Palatino Linotype" w:eastAsiaTheme="minorEastAsia" w:hAnsi="Palatino Linotype" w:cstheme="majorBidi"/>
          <w:lang w:val="en-US"/>
        </w:rPr>
        <w:t xml:space="preserve">subject to Section 68 of the </w:t>
      </w:r>
      <w:proofErr w:type="gramStart"/>
      <w:r w:rsidRPr="00321931">
        <w:rPr>
          <w:rFonts w:ascii="Palatino Linotype" w:eastAsiaTheme="minorEastAsia" w:hAnsi="Palatino Linotype" w:cstheme="majorBidi"/>
          <w:lang w:val="en-US"/>
        </w:rPr>
        <w:t>Act;</w:t>
      </w:r>
      <w:proofErr w:type="gramEnd"/>
    </w:p>
    <w:p w14:paraId="5E968CEC" w14:textId="5ADB4CE7" w:rsidR="00030941" w:rsidRPr="00321931" w:rsidRDefault="00030941" w:rsidP="00030941">
      <w:pPr>
        <w:pStyle w:val="ListParagraph"/>
        <w:numPr>
          <w:ilvl w:val="1"/>
          <w:numId w:val="3"/>
        </w:numPr>
        <w:spacing w:after="120"/>
        <w:ind w:left="1890" w:hanging="540"/>
        <w:contextualSpacing w:val="0"/>
        <w:jc w:val="both"/>
        <w:rPr>
          <w:rFonts w:ascii="Palatino Linotype" w:eastAsiaTheme="minorEastAsia" w:hAnsi="Palatino Linotype" w:cstheme="majorBidi"/>
          <w:lang w:val="en-US"/>
        </w:rPr>
      </w:pPr>
      <w:r w:rsidRPr="00176397">
        <w:rPr>
          <w:rFonts w:ascii="Palatino Linotype" w:eastAsiaTheme="minorEastAsia" w:hAnsi="Palatino Linotype" w:cstheme="majorBidi"/>
          <w:highlight w:val="cyan"/>
          <w:lang w:val="en-US"/>
        </w:rPr>
        <w:t xml:space="preserve">The </w:t>
      </w:r>
      <w:r w:rsidR="0041773B" w:rsidRPr="00176397">
        <w:rPr>
          <w:rFonts w:ascii="Palatino Linotype" w:eastAsiaTheme="minorEastAsia" w:hAnsi="Palatino Linotype" w:cstheme="majorBidi"/>
          <w:highlight w:val="cyan"/>
          <w:lang w:val="en-US"/>
        </w:rPr>
        <w:t>taxpayer</w:t>
      </w:r>
      <w:r w:rsidRPr="00321931">
        <w:rPr>
          <w:rFonts w:ascii="Palatino Linotype" w:eastAsiaTheme="minorEastAsia" w:hAnsi="Palatino Linotype" w:cstheme="majorBidi"/>
          <w:lang w:val="en-US"/>
        </w:rPr>
        <w:t xml:space="preserve"> </w:t>
      </w:r>
      <w:r w:rsidR="001971D9" w:rsidRPr="00321931">
        <w:rPr>
          <w:rFonts w:ascii="Palatino Linotype" w:eastAsiaTheme="minorEastAsia" w:hAnsi="Palatino Linotype" w:cstheme="majorBidi"/>
          <w:lang w:val="en-US"/>
        </w:rPr>
        <w:t xml:space="preserve">that is </w:t>
      </w:r>
      <w:r w:rsidRPr="00321931">
        <w:rPr>
          <w:rFonts w:ascii="Palatino Linotype" w:eastAsiaTheme="minorEastAsia" w:hAnsi="Palatino Linotype" w:cstheme="majorBidi"/>
          <w:lang w:val="en-US"/>
        </w:rPr>
        <w:t>subject to the transaction or arrangement specified in subsection (a)(1</w:t>
      </w:r>
      <w:proofErr w:type="gramStart"/>
      <w:r w:rsidRPr="00321931">
        <w:rPr>
          <w:rFonts w:ascii="Palatino Linotype" w:eastAsiaTheme="minorEastAsia" w:hAnsi="Palatino Linotype" w:cstheme="majorBidi"/>
          <w:lang w:val="en-US"/>
        </w:rPr>
        <w:t>);</w:t>
      </w:r>
      <w:proofErr w:type="gramEnd"/>
    </w:p>
    <w:p w14:paraId="50A92D46" w14:textId="2A22139C" w:rsidR="00030941" w:rsidRPr="00321931" w:rsidRDefault="0009587A" w:rsidP="00AC6C51">
      <w:pPr>
        <w:pStyle w:val="ListParagraph"/>
        <w:numPr>
          <w:ilvl w:val="1"/>
          <w:numId w:val="3"/>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group to which </w:t>
      </w:r>
      <w:r w:rsidRPr="00176397">
        <w:rPr>
          <w:rFonts w:ascii="Palatino Linotype" w:eastAsiaTheme="minorEastAsia" w:hAnsi="Palatino Linotype" w:cstheme="majorBidi"/>
          <w:highlight w:val="cyan"/>
          <w:lang w:val="en-US"/>
        </w:rPr>
        <w:t xml:space="preserve">the </w:t>
      </w:r>
      <w:r w:rsidR="0041773B" w:rsidRPr="00176397">
        <w:rPr>
          <w:rFonts w:ascii="Palatino Linotype" w:eastAsiaTheme="minorEastAsia" w:hAnsi="Palatino Linotype" w:cstheme="majorBidi"/>
          <w:highlight w:val="cyan"/>
          <w:lang w:val="en-US"/>
        </w:rPr>
        <w:t>taxpayer</w:t>
      </w:r>
      <w:r w:rsidR="00AC6C51" w:rsidRPr="00321931">
        <w:rPr>
          <w:rFonts w:ascii="Palatino Linotype" w:eastAsiaTheme="minorEastAsia" w:hAnsi="Palatino Linotype" w:cstheme="majorBidi"/>
          <w:lang w:val="en-US"/>
        </w:rPr>
        <w:t xml:space="preserve"> </w:t>
      </w:r>
      <w:r w:rsidR="001971D9" w:rsidRPr="00321931">
        <w:rPr>
          <w:rFonts w:ascii="Palatino Linotype" w:eastAsiaTheme="minorEastAsia" w:hAnsi="Palatino Linotype" w:cstheme="majorBidi"/>
          <w:lang w:val="en-US"/>
        </w:rPr>
        <w:t xml:space="preserve">that is </w:t>
      </w:r>
      <w:r w:rsidRPr="00321931">
        <w:rPr>
          <w:rFonts w:ascii="Palatino Linotype" w:eastAsiaTheme="minorEastAsia" w:hAnsi="Palatino Linotype" w:cstheme="majorBidi"/>
          <w:lang w:val="en-US"/>
        </w:rPr>
        <w:t>subject to the transaction or arrangement specified in subsection (a)(1) belongs.</w:t>
      </w:r>
    </w:p>
    <w:p w14:paraId="053AB3B8" w14:textId="77777777" w:rsidR="006E46F6" w:rsidRPr="00321931" w:rsidRDefault="0002372E" w:rsidP="00F10157">
      <w:pPr>
        <w:pStyle w:val="ListParagraph"/>
        <w:numPr>
          <w:ilvl w:val="0"/>
          <w:numId w:val="3"/>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w:t>
      </w:r>
      <w:r w:rsidR="006E46F6" w:rsidRPr="00321931">
        <w:rPr>
          <w:rFonts w:ascii="Palatino Linotype" w:eastAsiaTheme="minorEastAsia" w:hAnsi="Palatino Linotype" w:cstheme="majorBidi"/>
          <w:lang w:val="en-US"/>
        </w:rPr>
        <w:t xml:space="preserve">he date on which the </w:t>
      </w:r>
      <w:r w:rsidRPr="00321931">
        <w:rPr>
          <w:rFonts w:ascii="Palatino Linotype" w:eastAsiaTheme="minorEastAsia" w:hAnsi="Palatino Linotype" w:cstheme="majorBidi"/>
          <w:lang w:val="en-US"/>
        </w:rPr>
        <w:t xml:space="preserve">transfer pricing </w:t>
      </w:r>
      <w:r w:rsidR="006E46F6" w:rsidRPr="00321931">
        <w:rPr>
          <w:rFonts w:ascii="Palatino Linotype" w:eastAsiaTheme="minorEastAsia" w:hAnsi="Palatino Linotype" w:cstheme="majorBidi"/>
          <w:lang w:val="en-US"/>
        </w:rPr>
        <w:t xml:space="preserve">documentation </w:t>
      </w:r>
      <w:r w:rsidR="00874113" w:rsidRPr="00321931">
        <w:rPr>
          <w:rFonts w:ascii="Palatino Linotype" w:eastAsiaTheme="minorEastAsia" w:hAnsi="Palatino Linotype" w:cstheme="majorBidi"/>
          <w:lang w:val="en-US"/>
        </w:rPr>
        <w:t xml:space="preserve">is </w:t>
      </w:r>
      <w:r w:rsidR="006E46F6" w:rsidRPr="00321931">
        <w:rPr>
          <w:rFonts w:ascii="Palatino Linotype" w:eastAsiaTheme="minorEastAsia" w:hAnsi="Palatino Linotype" w:cstheme="majorBidi"/>
          <w:lang w:val="en-US"/>
        </w:rPr>
        <w:t>completed</w:t>
      </w:r>
      <w:r w:rsidRPr="00321931">
        <w:rPr>
          <w:rFonts w:ascii="Palatino Linotype" w:eastAsiaTheme="minorEastAsia" w:hAnsi="Palatino Linotype" w:cstheme="majorBidi"/>
          <w:lang w:val="en-US"/>
        </w:rPr>
        <w:t xml:space="preserve"> shall be stated therein.</w:t>
      </w:r>
    </w:p>
    <w:p w14:paraId="380D52CA" w14:textId="77777777" w:rsidR="00655044" w:rsidRPr="00321931" w:rsidRDefault="006E46F6" w:rsidP="00B67D2A">
      <w:pPr>
        <w:pStyle w:val="ListParagraph"/>
        <w:numPr>
          <w:ilvl w:val="0"/>
          <w:numId w:val="3"/>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The transfer pricing documentation shall be prepared in English or Dhivehi</w:t>
      </w:r>
    </w:p>
    <w:p w14:paraId="722DEB04" w14:textId="77777777" w:rsidR="006E46F6" w:rsidRPr="00321931" w:rsidRDefault="0002372E" w:rsidP="0002372E">
      <w:pPr>
        <w:pStyle w:val="ListParagraph"/>
        <w:numPr>
          <w:ilvl w:val="0"/>
          <w:numId w:val="3"/>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accounting period to which the </w:t>
      </w:r>
      <w:r w:rsidR="006E46F6" w:rsidRPr="00321931">
        <w:rPr>
          <w:rFonts w:ascii="Palatino Linotype" w:eastAsiaTheme="minorEastAsia" w:hAnsi="Palatino Linotype" w:cstheme="majorBidi"/>
          <w:lang w:val="en-US"/>
        </w:rPr>
        <w:t xml:space="preserve">transfer pricing documentation </w:t>
      </w:r>
      <w:r w:rsidRPr="00321931">
        <w:rPr>
          <w:rFonts w:ascii="Palatino Linotype" w:eastAsiaTheme="minorEastAsia" w:hAnsi="Palatino Linotype" w:cstheme="majorBidi"/>
          <w:lang w:val="en-US"/>
        </w:rPr>
        <w:t>relates shall be specified therein.</w:t>
      </w:r>
    </w:p>
    <w:p w14:paraId="669DFE46" w14:textId="77777777" w:rsidR="00FC2F5E" w:rsidRPr="00321931" w:rsidRDefault="00FC2F5E" w:rsidP="005A2309">
      <w:pPr>
        <w:spacing w:after="0"/>
        <w:rPr>
          <w:rFonts w:ascii="Palatino Linotype" w:hAnsi="Palatino Linotype" w:cstheme="majorBidi"/>
        </w:rPr>
      </w:pPr>
    </w:p>
    <w:p w14:paraId="5630AD27" w14:textId="77777777" w:rsidR="00EF77FF" w:rsidRPr="00321931" w:rsidRDefault="00F72D46" w:rsidP="00105FDD">
      <w:pPr>
        <w:pStyle w:val="Heading2"/>
        <w:numPr>
          <w:ilvl w:val="0"/>
          <w:numId w:val="1"/>
        </w:numPr>
        <w:tabs>
          <w:tab w:val="left" w:pos="630"/>
        </w:tabs>
        <w:spacing w:before="0" w:after="120"/>
        <w:ind w:left="720" w:hanging="720"/>
        <w:rPr>
          <w:rFonts w:ascii="Palatino Linotype" w:hAnsi="Palatino Linotype"/>
          <w:color w:val="auto"/>
          <w:sz w:val="22"/>
          <w:szCs w:val="22"/>
          <w:lang w:val="en-GB"/>
        </w:rPr>
      </w:pPr>
      <w:bookmarkStart w:id="46" w:name="_Toc136789331"/>
      <w:r w:rsidRPr="00321931">
        <w:rPr>
          <w:rFonts w:ascii="Palatino Linotype" w:hAnsi="Palatino Linotype"/>
          <w:color w:val="auto"/>
          <w:sz w:val="22"/>
          <w:szCs w:val="22"/>
          <w:lang w:val="en-GB"/>
        </w:rPr>
        <w:t>Qualifying past transfer pricing documentation</w:t>
      </w:r>
      <w:bookmarkEnd w:id="46"/>
    </w:p>
    <w:p w14:paraId="246F9653" w14:textId="62216615" w:rsidR="00EF77FF" w:rsidRPr="00321931" w:rsidRDefault="00027224" w:rsidP="00176397">
      <w:pPr>
        <w:pStyle w:val="ListParagraph"/>
        <w:numPr>
          <w:ilvl w:val="0"/>
          <w:numId w:val="4"/>
        </w:numPr>
        <w:spacing w:after="120"/>
        <w:ind w:left="1350" w:hanging="72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Notwithstanding </w:t>
      </w:r>
      <w:r w:rsidRPr="00176397">
        <w:rPr>
          <w:rFonts w:ascii="Palatino Linotype" w:eastAsiaTheme="minorEastAsia" w:hAnsi="Palatino Linotype" w:cstheme="majorBidi"/>
          <w:highlight w:val="cyan"/>
          <w:lang w:val="en-US"/>
        </w:rPr>
        <w:t xml:space="preserve">Section </w:t>
      </w:r>
      <w:r w:rsidR="00A27FB7" w:rsidRPr="00176397">
        <w:rPr>
          <w:rFonts w:ascii="Palatino Linotype" w:eastAsiaTheme="minorEastAsia" w:hAnsi="Palatino Linotype" w:cstheme="majorBidi"/>
          <w:highlight w:val="cyan"/>
          <w:lang w:val="en-US"/>
        </w:rPr>
        <w:t>1</w:t>
      </w:r>
      <w:r w:rsidR="008F4F11" w:rsidRPr="00176397">
        <w:rPr>
          <w:rFonts w:ascii="Palatino Linotype" w:eastAsiaTheme="minorEastAsia" w:hAnsi="Palatino Linotype" w:cstheme="majorBidi"/>
          <w:highlight w:val="cyan"/>
          <w:lang w:val="en-US"/>
        </w:rPr>
        <w:t>3</w:t>
      </w:r>
      <w:r w:rsidR="00A27FB7"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 xml:space="preserve">of this Regulation, </w:t>
      </w:r>
      <w:r w:rsidR="00B1314F" w:rsidRPr="00321931">
        <w:rPr>
          <w:rFonts w:ascii="Palatino Linotype" w:eastAsiaTheme="minorEastAsia" w:hAnsi="Palatino Linotype" w:cstheme="majorBidi"/>
          <w:lang w:val="en-US"/>
        </w:rPr>
        <w:t xml:space="preserve">where </w:t>
      </w:r>
      <w:r w:rsidR="0041773B" w:rsidRPr="00176397">
        <w:rPr>
          <w:rFonts w:ascii="Palatino Linotype" w:eastAsiaTheme="minorEastAsia" w:hAnsi="Palatino Linotype" w:cstheme="majorBidi"/>
          <w:highlight w:val="cyan"/>
          <w:lang w:val="en-US"/>
        </w:rPr>
        <w:t>a taxpayer</w:t>
      </w:r>
      <w:r w:rsidR="00AC6C51" w:rsidRPr="00321931">
        <w:rPr>
          <w:rFonts w:ascii="Palatino Linotype" w:eastAsiaTheme="minorEastAsia" w:hAnsi="Palatino Linotype" w:cstheme="majorBidi"/>
          <w:lang w:val="en-US"/>
        </w:rPr>
        <w:t xml:space="preserve"> </w:t>
      </w:r>
      <w:r w:rsidR="004364AA" w:rsidRPr="00321931">
        <w:rPr>
          <w:rFonts w:ascii="Palatino Linotype" w:eastAsiaTheme="minorEastAsia" w:hAnsi="Palatino Linotype" w:cstheme="majorBidi"/>
          <w:lang w:val="en-US"/>
        </w:rPr>
        <w:t xml:space="preserve">prepares a </w:t>
      </w:r>
      <w:r w:rsidR="00B1314F" w:rsidRPr="00321931">
        <w:rPr>
          <w:rFonts w:ascii="Palatino Linotype" w:eastAsiaTheme="minorEastAsia" w:hAnsi="Palatino Linotype" w:cstheme="majorBidi"/>
          <w:lang w:val="en-US"/>
        </w:rPr>
        <w:t>“qualifying past transfer pricing documentation”, the transf</w:t>
      </w:r>
      <w:r w:rsidR="0084303C" w:rsidRPr="00321931">
        <w:rPr>
          <w:rFonts w:ascii="Palatino Linotype" w:eastAsiaTheme="minorEastAsia" w:hAnsi="Palatino Linotype" w:cstheme="majorBidi"/>
          <w:lang w:val="en-US"/>
        </w:rPr>
        <w:t xml:space="preserve">er pricing documentation prepared by </w:t>
      </w:r>
      <w:r w:rsidR="0084303C" w:rsidRPr="00176397">
        <w:rPr>
          <w:rFonts w:ascii="Palatino Linotype" w:eastAsiaTheme="minorEastAsia" w:hAnsi="Palatino Linotype" w:cstheme="majorBidi"/>
          <w:highlight w:val="cyan"/>
          <w:lang w:val="en-US"/>
        </w:rPr>
        <w:t xml:space="preserve">that </w:t>
      </w:r>
      <w:r w:rsidR="0041773B" w:rsidRPr="00176397">
        <w:rPr>
          <w:rFonts w:ascii="Palatino Linotype" w:eastAsiaTheme="minorEastAsia" w:hAnsi="Palatino Linotype" w:cstheme="majorBidi"/>
          <w:highlight w:val="cyan"/>
          <w:lang w:val="en-US"/>
        </w:rPr>
        <w:t>taxpayer</w:t>
      </w:r>
      <w:r w:rsidR="00CD4228" w:rsidRPr="00321931">
        <w:rPr>
          <w:rFonts w:ascii="Palatino Linotype" w:eastAsiaTheme="minorEastAsia" w:hAnsi="Palatino Linotype" w:cstheme="majorBidi"/>
          <w:lang w:val="en-US"/>
        </w:rPr>
        <w:t xml:space="preserve"> </w:t>
      </w:r>
      <w:r w:rsidR="0084303C" w:rsidRPr="00321931">
        <w:rPr>
          <w:rFonts w:ascii="Palatino Linotype" w:eastAsiaTheme="minorEastAsia" w:hAnsi="Palatino Linotype" w:cstheme="majorBidi"/>
          <w:lang w:val="en-US"/>
        </w:rPr>
        <w:t>in respect of</w:t>
      </w:r>
      <w:r w:rsidR="00B1314F" w:rsidRPr="00321931">
        <w:rPr>
          <w:rFonts w:ascii="Palatino Linotype" w:eastAsiaTheme="minorEastAsia" w:hAnsi="Palatino Linotype" w:cstheme="majorBidi"/>
          <w:lang w:val="en-US"/>
        </w:rPr>
        <w:t xml:space="preserve"> </w:t>
      </w:r>
      <w:r w:rsidR="0084303C" w:rsidRPr="00321931">
        <w:rPr>
          <w:rFonts w:ascii="Palatino Linotype" w:eastAsiaTheme="minorEastAsia" w:hAnsi="Palatino Linotype" w:cstheme="majorBidi"/>
          <w:lang w:val="en-US"/>
        </w:rPr>
        <w:t xml:space="preserve">a transaction or arrangement defined in this Regulation as a “subject transaction”, </w:t>
      </w:r>
      <w:r w:rsidR="00F10157" w:rsidRPr="00321931">
        <w:rPr>
          <w:rFonts w:ascii="Palatino Linotype" w:eastAsiaTheme="minorEastAsia" w:hAnsi="Palatino Linotype" w:cstheme="majorBidi"/>
          <w:lang w:val="en-US"/>
        </w:rPr>
        <w:t>shall</w:t>
      </w:r>
      <w:r w:rsidR="00A9570C" w:rsidRPr="00321931">
        <w:rPr>
          <w:rFonts w:ascii="Palatino Linotype" w:eastAsiaTheme="minorEastAsia" w:hAnsi="Palatino Linotype" w:cstheme="majorBidi"/>
          <w:lang w:val="en-US"/>
        </w:rPr>
        <w:t>:</w:t>
      </w:r>
    </w:p>
    <w:p w14:paraId="67E6A9DE" w14:textId="365627D8" w:rsidR="00A9570C" w:rsidRPr="00321931" w:rsidRDefault="00A9570C" w:rsidP="00A9570C">
      <w:pPr>
        <w:pStyle w:val="ListParagraph"/>
        <w:numPr>
          <w:ilvl w:val="1"/>
          <w:numId w:val="3"/>
        </w:numPr>
        <w:tabs>
          <w:tab w:val="left" w:pos="1890"/>
        </w:tabs>
        <w:spacing w:after="120"/>
        <w:ind w:left="198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fulfill all the requirements specified in </w:t>
      </w:r>
      <w:r w:rsidRPr="00176397">
        <w:rPr>
          <w:rFonts w:ascii="Palatino Linotype" w:eastAsiaTheme="minorEastAsia" w:hAnsi="Palatino Linotype" w:cstheme="majorBidi"/>
          <w:highlight w:val="cyan"/>
          <w:lang w:val="en-US"/>
        </w:rPr>
        <w:t xml:space="preserve">Section </w:t>
      </w:r>
      <w:r w:rsidR="00A27FB7" w:rsidRPr="00176397">
        <w:rPr>
          <w:rFonts w:ascii="Palatino Linotype" w:eastAsiaTheme="minorEastAsia" w:hAnsi="Palatino Linotype" w:cstheme="majorBidi"/>
          <w:highlight w:val="cyan"/>
          <w:lang w:val="en-US"/>
        </w:rPr>
        <w:t>1</w:t>
      </w:r>
      <w:r w:rsidR="008F4F11" w:rsidRPr="00176397">
        <w:rPr>
          <w:rFonts w:ascii="Palatino Linotype" w:eastAsiaTheme="minorEastAsia" w:hAnsi="Palatino Linotype" w:cstheme="majorBidi"/>
          <w:highlight w:val="cyan"/>
          <w:lang w:val="en-US"/>
        </w:rPr>
        <w:t>3</w:t>
      </w:r>
      <w:r w:rsidR="00A27FB7"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of this Regulation; and</w:t>
      </w:r>
    </w:p>
    <w:p w14:paraId="170FA0F0" w14:textId="0CB0519C" w:rsidR="00A9570C" w:rsidRPr="00321931" w:rsidRDefault="00A9570C" w:rsidP="00F10157">
      <w:pPr>
        <w:pStyle w:val="ListParagraph"/>
        <w:numPr>
          <w:ilvl w:val="1"/>
          <w:numId w:val="3"/>
        </w:numPr>
        <w:tabs>
          <w:tab w:val="left" w:pos="1890"/>
        </w:tabs>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include a declaration by </w:t>
      </w:r>
      <w:r w:rsidRPr="00176397">
        <w:rPr>
          <w:rFonts w:ascii="Palatino Linotype" w:eastAsiaTheme="minorEastAsia" w:hAnsi="Palatino Linotype" w:cstheme="majorBidi"/>
          <w:highlight w:val="cyan"/>
          <w:lang w:val="en-US"/>
        </w:rPr>
        <w:t xml:space="preserve">the </w:t>
      </w:r>
      <w:r w:rsidR="0041773B" w:rsidRPr="00176397">
        <w:rPr>
          <w:rFonts w:ascii="Palatino Linotype" w:eastAsiaTheme="minorEastAsia" w:hAnsi="Palatino Linotype" w:cstheme="majorBidi"/>
          <w:highlight w:val="cyan"/>
          <w:lang w:val="en-US"/>
        </w:rPr>
        <w:t>taxpayer</w:t>
      </w:r>
      <w:r w:rsidR="0041773B"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 xml:space="preserve">stating that </w:t>
      </w:r>
      <w:r w:rsidRPr="00176397">
        <w:rPr>
          <w:rFonts w:ascii="Palatino Linotype" w:eastAsiaTheme="minorEastAsia" w:hAnsi="Palatino Linotype" w:cstheme="majorBidi"/>
          <w:highlight w:val="cyan"/>
          <w:lang w:val="en-US"/>
        </w:rPr>
        <w:t>the</w:t>
      </w:r>
      <w:r w:rsidR="00CD4228" w:rsidRPr="00176397">
        <w:rPr>
          <w:rFonts w:ascii="Palatino Linotype" w:eastAsiaTheme="minorEastAsia" w:hAnsi="Palatino Linotype" w:cstheme="majorBidi"/>
          <w:highlight w:val="cyan"/>
          <w:lang w:val="en-US"/>
        </w:rPr>
        <w:t xml:space="preserve"> </w:t>
      </w:r>
      <w:r w:rsidR="0041773B" w:rsidRPr="00176397">
        <w:rPr>
          <w:rFonts w:ascii="Palatino Linotype" w:eastAsiaTheme="minorEastAsia" w:hAnsi="Palatino Linotype" w:cstheme="majorBidi"/>
          <w:highlight w:val="cyan"/>
          <w:lang w:val="en-US"/>
        </w:rPr>
        <w:t>taxpayer</w:t>
      </w:r>
      <w:r w:rsidR="00CD4228"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 xml:space="preserve">has prepared </w:t>
      </w:r>
      <w:r w:rsidR="004364AA" w:rsidRPr="00321931">
        <w:rPr>
          <w:rFonts w:ascii="Palatino Linotype" w:eastAsiaTheme="minorEastAsia" w:hAnsi="Palatino Linotype" w:cstheme="majorBidi"/>
          <w:lang w:val="en-US"/>
        </w:rPr>
        <w:t xml:space="preserve">a </w:t>
      </w:r>
      <w:r w:rsidRPr="00321931">
        <w:rPr>
          <w:rFonts w:ascii="Palatino Linotype" w:eastAsiaTheme="minorEastAsia" w:hAnsi="Palatino Linotype" w:cstheme="majorBidi"/>
          <w:lang w:val="en-US"/>
        </w:rPr>
        <w:t>qualifying past transfer pricing documentation, and a copy of the qualifying past transfer pricing documentation</w:t>
      </w:r>
      <w:r w:rsidR="00DF126F" w:rsidRPr="00321931">
        <w:rPr>
          <w:rFonts w:ascii="Palatino Linotype" w:eastAsiaTheme="minorEastAsia" w:hAnsi="Palatino Linotype" w:cstheme="majorBidi"/>
          <w:lang w:val="en-US"/>
        </w:rPr>
        <w:t xml:space="preserve"> </w:t>
      </w:r>
      <w:r w:rsidR="00E2130E" w:rsidRPr="00321931">
        <w:rPr>
          <w:rFonts w:ascii="Palatino Linotype" w:eastAsiaTheme="minorEastAsia" w:hAnsi="Palatino Linotype" w:cstheme="majorBidi"/>
          <w:lang w:val="en-US"/>
        </w:rPr>
        <w:t xml:space="preserve">thus </w:t>
      </w:r>
      <w:r w:rsidR="00DF126F" w:rsidRPr="00321931">
        <w:rPr>
          <w:rFonts w:ascii="Palatino Linotype" w:eastAsiaTheme="minorEastAsia" w:hAnsi="Palatino Linotype" w:cstheme="majorBidi"/>
          <w:lang w:val="en-US"/>
        </w:rPr>
        <w:t>prepared</w:t>
      </w:r>
      <w:r w:rsidRPr="00321931">
        <w:rPr>
          <w:rFonts w:ascii="Palatino Linotype" w:eastAsiaTheme="minorEastAsia" w:hAnsi="Palatino Linotype" w:cstheme="majorBidi"/>
          <w:lang w:val="en-US"/>
        </w:rPr>
        <w:t>.</w:t>
      </w:r>
    </w:p>
    <w:p w14:paraId="4D9DD142" w14:textId="77777777" w:rsidR="008E3962" w:rsidRPr="00321931" w:rsidRDefault="0068776C" w:rsidP="005A2309">
      <w:pPr>
        <w:pStyle w:val="ListParagraph"/>
        <w:numPr>
          <w:ilvl w:val="0"/>
          <w:numId w:val="4"/>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declaration specified in subsection (a)(2) shall not be deemed to be </w:t>
      </w:r>
      <w:r w:rsidR="004364AA" w:rsidRPr="00321931">
        <w:rPr>
          <w:rFonts w:ascii="Palatino Linotype" w:eastAsiaTheme="minorEastAsia" w:hAnsi="Palatino Linotype" w:cstheme="majorBidi"/>
          <w:lang w:val="en-US"/>
        </w:rPr>
        <w:t xml:space="preserve">a </w:t>
      </w:r>
      <w:r w:rsidRPr="00321931">
        <w:rPr>
          <w:rFonts w:ascii="Palatino Linotype" w:eastAsiaTheme="minorEastAsia" w:hAnsi="Palatino Linotype" w:cstheme="majorBidi"/>
          <w:lang w:val="en-US"/>
        </w:rPr>
        <w:t>qualifying past transfer pricing documentation</w:t>
      </w:r>
      <w:r w:rsidR="0044337A" w:rsidRPr="00321931">
        <w:rPr>
          <w:rFonts w:ascii="Palatino Linotype" w:eastAsiaTheme="minorEastAsia" w:hAnsi="Palatino Linotype" w:cstheme="majorBidi"/>
          <w:lang w:val="en-US"/>
        </w:rPr>
        <w:t>.</w:t>
      </w:r>
    </w:p>
    <w:p w14:paraId="3A71A20D" w14:textId="77777777" w:rsidR="001D69D3" w:rsidRPr="00321931" w:rsidRDefault="001D69D3" w:rsidP="001D69D3">
      <w:pPr>
        <w:pStyle w:val="ListParagraph"/>
        <w:spacing w:after="120"/>
        <w:ind w:left="1350"/>
        <w:contextualSpacing w:val="0"/>
        <w:jc w:val="both"/>
        <w:rPr>
          <w:rFonts w:ascii="Palatino Linotype" w:eastAsiaTheme="minorEastAsia" w:hAnsi="Palatino Linotype" w:cstheme="majorBidi"/>
          <w:lang w:val="en-US"/>
        </w:rPr>
      </w:pPr>
    </w:p>
    <w:p w14:paraId="346294BB" w14:textId="77777777" w:rsidR="00825184" w:rsidRPr="00321931" w:rsidRDefault="00303587" w:rsidP="00105FDD">
      <w:pPr>
        <w:pStyle w:val="Heading2"/>
        <w:numPr>
          <w:ilvl w:val="0"/>
          <w:numId w:val="1"/>
        </w:numPr>
        <w:tabs>
          <w:tab w:val="left" w:pos="630"/>
        </w:tabs>
        <w:spacing w:before="0" w:after="120"/>
        <w:ind w:left="720" w:hanging="720"/>
        <w:rPr>
          <w:rFonts w:ascii="Palatino Linotype" w:hAnsi="Palatino Linotype"/>
          <w:color w:val="auto"/>
          <w:sz w:val="22"/>
          <w:szCs w:val="22"/>
          <w:lang w:val="en-GB"/>
        </w:rPr>
      </w:pPr>
      <w:bookmarkStart w:id="47" w:name="_Toc136789332"/>
      <w:r w:rsidRPr="00321931">
        <w:rPr>
          <w:rFonts w:ascii="Palatino Linotype" w:hAnsi="Palatino Linotype"/>
          <w:color w:val="auto"/>
          <w:sz w:val="22"/>
          <w:szCs w:val="22"/>
          <w:lang w:val="en-GB"/>
        </w:rPr>
        <w:t>Defining qualifying past transfer pricing documentation</w:t>
      </w:r>
      <w:bookmarkEnd w:id="47"/>
    </w:p>
    <w:p w14:paraId="44F092C4" w14:textId="77777777" w:rsidR="00825184" w:rsidRPr="00321931" w:rsidRDefault="0078554A" w:rsidP="00AC2378">
      <w:pPr>
        <w:pStyle w:val="ListParagraph"/>
        <w:numPr>
          <w:ilvl w:val="0"/>
          <w:numId w:val="5"/>
        </w:numPr>
        <w:spacing w:after="120"/>
        <w:ind w:left="1350" w:hanging="72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In this Regulation, “qualifying past transfer pricing documentation”, </w:t>
      </w:r>
      <w:r w:rsidR="00BC4685" w:rsidRPr="00321931">
        <w:rPr>
          <w:rFonts w:ascii="Palatino Linotype" w:eastAsiaTheme="minorEastAsia" w:hAnsi="Palatino Linotype" w:cstheme="majorBidi"/>
          <w:lang w:val="en-US"/>
        </w:rPr>
        <w:t xml:space="preserve">shall </w:t>
      </w:r>
      <w:r w:rsidRPr="00321931">
        <w:rPr>
          <w:rFonts w:ascii="Palatino Linotype" w:eastAsiaTheme="minorEastAsia" w:hAnsi="Palatino Linotype" w:cstheme="majorBidi"/>
          <w:lang w:val="en-US"/>
        </w:rPr>
        <w:t>mean</w:t>
      </w:r>
      <w:r w:rsidR="00BC4685" w:rsidRPr="00321931">
        <w:rPr>
          <w:rFonts w:ascii="Palatino Linotype" w:eastAsiaTheme="minorEastAsia" w:hAnsi="Palatino Linotype" w:cstheme="majorBidi"/>
          <w:lang w:val="en-US"/>
        </w:rPr>
        <w:t xml:space="preserve"> the</w:t>
      </w:r>
      <w:r w:rsidRPr="00321931">
        <w:rPr>
          <w:rFonts w:ascii="Palatino Linotype" w:eastAsiaTheme="minorEastAsia" w:hAnsi="Palatino Linotype" w:cstheme="majorBidi"/>
          <w:lang w:val="en-US"/>
        </w:rPr>
        <w:t xml:space="preserve"> transfer pricing documentation </w:t>
      </w:r>
      <w:r w:rsidR="00077931" w:rsidRPr="00321931">
        <w:rPr>
          <w:rFonts w:ascii="Palatino Linotype" w:eastAsiaTheme="minorEastAsia" w:hAnsi="Palatino Linotype" w:cstheme="majorBidi"/>
          <w:lang w:val="en-US"/>
        </w:rPr>
        <w:t xml:space="preserve">that was </w:t>
      </w:r>
      <w:r w:rsidRPr="00321931">
        <w:rPr>
          <w:rFonts w:ascii="Palatino Linotype" w:eastAsiaTheme="minorEastAsia" w:hAnsi="Palatino Linotype" w:cstheme="majorBidi"/>
          <w:lang w:val="en-US"/>
        </w:rPr>
        <w:t>prepared</w:t>
      </w:r>
      <w:r w:rsidR="00F9179A" w:rsidRPr="00321931">
        <w:rPr>
          <w:rFonts w:ascii="Palatino Linotype" w:eastAsiaTheme="minorEastAsia" w:hAnsi="Palatino Linotype" w:cstheme="majorBidi"/>
          <w:lang w:val="en-US"/>
        </w:rPr>
        <w:t xml:space="preserve"> for the previous accounting period</w:t>
      </w:r>
      <w:r w:rsidRPr="00321931">
        <w:rPr>
          <w:rFonts w:ascii="Palatino Linotype" w:eastAsiaTheme="minorEastAsia" w:hAnsi="Palatino Linotype" w:cstheme="majorBidi"/>
          <w:lang w:val="en-US"/>
        </w:rPr>
        <w:t xml:space="preserve"> in respect of a transaction or arrangement</w:t>
      </w:r>
      <w:r w:rsidR="00A82066" w:rsidRPr="00321931">
        <w:rPr>
          <w:rFonts w:ascii="Palatino Linotype" w:eastAsiaTheme="minorEastAsia" w:hAnsi="Palatino Linotype" w:cstheme="majorBidi"/>
          <w:lang w:val="en-US"/>
        </w:rPr>
        <w:t xml:space="preserve"> </w:t>
      </w:r>
      <w:proofErr w:type="gramStart"/>
      <w:r w:rsidR="00A82066" w:rsidRPr="00321931">
        <w:rPr>
          <w:rFonts w:ascii="Palatino Linotype" w:eastAsiaTheme="minorEastAsia" w:hAnsi="Palatino Linotype" w:cstheme="majorBidi"/>
          <w:lang w:val="en-US"/>
        </w:rPr>
        <w:t>entered into</w:t>
      </w:r>
      <w:proofErr w:type="gramEnd"/>
      <w:r w:rsidR="00A82066" w:rsidRPr="00321931">
        <w:rPr>
          <w:rFonts w:ascii="Palatino Linotype" w:eastAsiaTheme="minorEastAsia" w:hAnsi="Palatino Linotype" w:cstheme="majorBidi"/>
          <w:lang w:val="en-US"/>
        </w:rPr>
        <w:t xml:space="preserve"> with </w:t>
      </w:r>
      <w:r w:rsidR="00A82066" w:rsidRPr="00321931">
        <w:rPr>
          <w:rFonts w:ascii="Palatino Linotype" w:eastAsiaTheme="minorEastAsia" w:hAnsi="Palatino Linotype" w:cstheme="majorBidi"/>
          <w:lang w:val="en-US"/>
        </w:rPr>
        <w:lastRenderedPageBreak/>
        <w:t>the</w:t>
      </w:r>
      <w:r w:rsidR="00077931" w:rsidRPr="00321931">
        <w:rPr>
          <w:rFonts w:ascii="Palatino Linotype" w:eastAsiaTheme="minorEastAsia" w:hAnsi="Palatino Linotype" w:cstheme="majorBidi"/>
          <w:lang w:val="en-US"/>
        </w:rPr>
        <w:t xml:space="preserve"> same</w:t>
      </w:r>
      <w:r w:rsidR="00A82066" w:rsidRPr="00321931">
        <w:rPr>
          <w:rFonts w:ascii="Palatino Linotype" w:eastAsiaTheme="minorEastAsia" w:hAnsi="Palatino Linotype" w:cstheme="majorBidi"/>
          <w:lang w:val="en-US"/>
        </w:rPr>
        <w:t xml:space="preserve"> associated party </w:t>
      </w:r>
      <w:r w:rsidR="00077931" w:rsidRPr="00321931">
        <w:rPr>
          <w:rFonts w:ascii="Palatino Linotype" w:eastAsiaTheme="minorEastAsia" w:hAnsi="Palatino Linotype" w:cstheme="majorBidi"/>
          <w:lang w:val="en-US"/>
        </w:rPr>
        <w:t xml:space="preserve">with </w:t>
      </w:r>
      <w:r w:rsidRPr="00321931">
        <w:rPr>
          <w:rFonts w:ascii="Palatino Linotype" w:eastAsiaTheme="minorEastAsia" w:hAnsi="Palatino Linotype" w:cstheme="majorBidi"/>
          <w:lang w:val="en-US"/>
        </w:rPr>
        <w:t xml:space="preserve">whom </w:t>
      </w:r>
      <w:r w:rsidR="00077931" w:rsidRPr="00321931">
        <w:rPr>
          <w:rFonts w:ascii="Palatino Linotype" w:eastAsiaTheme="minorEastAsia" w:hAnsi="Palatino Linotype" w:cstheme="majorBidi"/>
          <w:lang w:val="en-US"/>
        </w:rPr>
        <w:t xml:space="preserve">the </w:t>
      </w:r>
      <w:r w:rsidRPr="00321931">
        <w:rPr>
          <w:rFonts w:ascii="Palatino Linotype" w:eastAsiaTheme="minorEastAsia" w:hAnsi="Palatino Linotype" w:cstheme="majorBidi"/>
          <w:lang w:val="en-US"/>
        </w:rPr>
        <w:t>transaction (the subject transaction)</w:t>
      </w:r>
      <w:r w:rsidR="00BC4685" w:rsidRPr="00321931">
        <w:rPr>
          <w:rFonts w:ascii="Palatino Linotype" w:eastAsiaTheme="minorEastAsia" w:hAnsi="Palatino Linotype" w:cstheme="majorBidi"/>
          <w:lang w:val="en-US"/>
        </w:rPr>
        <w:t xml:space="preserve"> entered into, </w:t>
      </w:r>
      <w:r w:rsidR="00F9179A" w:rsidRPr="00321931">
        <w:rPr>
          <w:rFonts w:ascii="Palatino Linotype" w:eastAsiaTheme="minorEastAsia" w:hAnsi="Palatino Linotype" w:cstheme="majorBidi"/>
          <w:lang w:val="en-US"/>
        </w:rPr>
        <w:t>in respect of which the transfer pricing documentation is prepared</w:t>
      </w:r>
      <w:r w:rsidR="00BC4685" w:rsidRPr="00321931">
        <w:rPr>
          <w:rFonts w:ascii="Palatino Linotype" w:eastAsiaTheme="minorEastAsia" w:hAnsi="Palatino Linotype" w:cstheme="majorBidi"/>
          <w:lang w:val="en-US"/>
        </w:rPr>
        <w:t>.</w:t>
      </w:r>
    </w:p>
    <w:p w14:paraId="5C3B31F5" w14:textId="63378651" w:rsidR="001D69D3" w:rsidRPr="00321931" w:rsidRDefault="000B64A3" w:rsidP="008239D6">
      <w:pPr>
        <w:pStyle w:val="ListParagraph"/>
        <w:numPr>
          <w:ilvl w:val="0"/>
          <w:numId w:val="5"/>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qualifying past transfer pricing documentation specified in subsection (a) shall fulfill all the requirements specified in </w:t>
      </w:r>
      <w:r w:rsidRPr="00AC2378">
        <w:rPr>
          <w:rFonts w:ascii="Palatino Linotype" w:eastAsiaTheme="minorEastAsia" w:hAnsi="Palatino Linotype" w:cstheme="majorBidi"/>
          <w:highlight w:val="cyan"/>
          <w:lang w:val="en-US"/>
        </w:rPr>
        <w:t xml:space="preserve">Section </w:t>
      </w:r>
      <w:r w:rsidR="005370DF" w:rsidRPr="00AC2378">
        <w:rPr>
          <w:rFonts w:ascii="Palatino Linotype" w:eastAsiaTheme="minorEastAsia" w:hAnsi="Palatino Linotype" w:cstheme="majorBidi"/>
          <w:highlight w:val="cyan"/>
          <w:lang w:val="en-US"/>
        </w:rPr>
        <w:t>1</w:t>
      </w:r>
      <w:r w:rsidR="008F4F11" w:rsidRPr="00AC2378">
        <w:rPr>
          <w:rFonts w:ascii="Palatino Linotype" w:eastAsiaTheme="minorEastAsia" w:hAnsi="Palatino Linotype" w:cstheme="majorBidi"/>
          <w:highlight w:val="cyan"/>
          <w:lang w:val="en-US"/>
        </w:rPr>
        <w:t>6</w:t>
      </w:r>
      <w:r w:rsidR="005370DF"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of this Regulation.</w:t>
      </w:r>
    </w:p>
    <w:p w14:paraId="65F86C27" w14:textId="6428B78D" w:rsidR="00BC4685" w:rsidRPr="00321931" w:rsidRDefault="000B64A3" w:rsidP="00944A11">
      <w:pPr>
        <w:pStyle w:val="ListParagraph"/>
        <w:numPr>
          <w:ilvl w:val="0"/>
          <w:numId w:val="5"/>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Where transfer pricing documentation </w:t>
      </w:r>
      <w:r w:rsidR="002F2983" w:rsidRPr="00321931">
        <w:rPr>
          <w:rFonts w:ascii="Palatino Linotype" w:eastAsiaTheme="minorEastAsia" w:hAnsi="Palatino Linotype" w:cstheme="majorBidi"/>
          <w:lang w:val="en-US"/>
        </w:rPr>
        <w:t>was</w:t>
      </w:r>
      <w:r w:rsidRPr="00321931">
        <w:rPr>
          <w:rFonts w:ascii="Palatino Linotype" w:eastAsiaTheme="minorEastAsia" w:hAnsi="Palatino Linotype" w:cstheme="majorBidi"/>
          <w:lang w:val="en-US"/>
        </w:rPr>
        <w:t xml:space="preserve"> prepared for the previous accounting period in accordance with subsection (a), or</w:t>
      </w:r>
      <w:r w:rsidR="00F078C9" w:rsidRPr="00321931">
        <w:rPr>
          <w:rFonts w:ascii="Palatino Linotype" w:eastAsiaTheme="minorEastAsia" w:hAnsi="Palatino Linotype" w:cstheme="majorBidi"/>
          <w:lang w:val="en-US"/>
        </w:rPr>
        <w:t>,</w:t>
      </w:r>
      <w:r w:rsidRPr="00321931">
        <w:rPr>
          <w:rFonts w:ascii="Palatino Linotype" w:eastAsiaTheme="minorEastAsia" w:hAnsi="Palatino Linotype" w:cstheme="majorBidi"/>
          <w:lang w:val="en-US"/>
        </w:rPr>
        <w:t xml:space="preserve"> the transfer pricing documentation prepared for the previous accounting period </w:t>
      </w:r>
      <w:r w:rsidR="002F2983" w:rsidRPr="00321931">
        <w:rPr>
          <w:rFonts w:ascii="Palatino Linotype" w:eastAsiaTheme="minorEastAsia" w:hAnsi="Palatino Linotype" w:cstheme="majorBidi"/>
          <w:lang w:val="en-US"/>
        </w:rPr>
        <w:t xml:space="preserve">did </w:t>
      </w:r>
      <w:r w:rsidRPr="00321931">
        <w:rPr>
          <w:rFonts w:ascii="Palatino Linotype" w:eastAsiaTheme="minorEastAsia" w:hAnsi="Palatino Linotype" w:cstheme="majorBidi"/>
          <w:lang w:val="en-US"/>
        </w:rPr>
        <w:t xml:space="preserve">not fulfill </w:t>
      </w:r>
      <w:r w:rsidR="00F078C9" w:rsidRPr="00321931">
        <w:rPr>
          <w:rFonts w:ascii="Palatino Linotype" w:eastAsiaTheme="minorEastAsia" w:hAnsi="Palatino Linotype" w:cstheme="majorBidi"/>
          <w:lang w:val="en-US"/>
        </w:rPr>
        <w:t>any of</w:t>
      </w:r>
      <w:r w:rsidRPr="00321931">
        <w:rPr>
          <w:rFonts w:ascii="Palatino Linotype" w:eastAsiaTheme="minorEastAsia" w:hAnsi="Palatino Linotype" w:cstheme="majorBidi"/>
          <w:lang w:val="en-US"/>
        </w:rPr>
        <w:t xml:space="preserve"> the requirements specified </w:t>
      </w:r>
      <w:r w:rsidRPr="00AC2378">
        <w:rPr>
          <w:rFonts w:ascii="Palatino Linotype" w:eastAsiaTheme="minorEastAsia" w:hAnsi="Palatino Linotype" w:cstheme="majorBidi"/>
          <w:highlight w:val="cyan"/>
          <w:lang w:val="en-US"/>
        </w:rPr>
        <w:t xml:space="preserve">in Section </w:t>
      </w:r>
      <w:r w:rsidR="005370DF" w:rsidRPr="00AC2378">
        <w:rPr>
          <w:rFonts w:ascii="Palatino Linotype" w:eastAsiaTheme="minorEastAsia" w:hAnsi="Palatino Linotype" w:cstheme="majorBidi"/>
          <w:highlight w:val="cyan"/>
          <w:lang w:val="en-US"/>
        </w:rPr>
        <w:t>1</w:t>
      </w:r>
      <w:r w:rsidR="008F4F11" w:rsidRPr="00AC2378">
        <w:rPr>
          <w:rFonts w:ascii="Palatino Linotype" w:eastAsiaTheme="minorEastAsia" w:hAnsi="Palatino Linotype" w:cstheme="majorBidi"/>
          <w:highlight w:val="cyan"/>
          <w:lang w:val="en-US"/>
        </w:rPr>
        <w:t>6</w:t>
      </w:r>
      <w:r w:rsidR="005370DF"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 xml:space="preserve">of this Regulation, </w:t>
      </w:r>
      <w:r w:rsidR="00F078C9" w:rsidRPr="00321931">
        <w:rPr>
          <w:rFonts w:ascii="Palatino Linotype" w:eastAsiaTheme="minorEastAsia" w:hAnsi="Palatino Linotype" w:cstheme="majorBidi"/>
          <w:lang w:val="en-US"/>
        </w:rPr>
        <w:t xml:space="preserve">“qualifying past transfer pricing documentation” </w:t>
      </w:r>
      <w:r w:rsidR="00BC4685" w:rsidRPr="00321931">
        <w:rPr>
          <w:rFonts w:ascii="Palatino Linotype" w:eastAsiaTheme="minorEastAsia" w:hAnsi="Palatino Linotype" w:cstheme="majorBidi"/>
          <w:lang w:val="en-US"/>
        </w:rPr>
        <w:t>shall mean the transfer pricing documentation that was prepared for the accounting period immediately preceding the previous accounting period in respect of a transaction or arrangement entered into with the same associated party with whom the transaction (the subject transaction) entered into, in respect of which the transfer pricing documentation is prepared.</w:t>
      </w:r>
    </w:p>
    <w:p w14:paraId="065A0071" w14:textId="410C0F55" w:rsidR="00825184" w:rsidRPr="00321931" w:rsidRDefault="00CF4BF2">
      <w:pPr>
        <w:pStyle w:val="ListParagraph"/>
        <w:numPr>
          <w:ilvl w:val="0"/>
          <w:numId w:val="5"/>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requirements specified </w:t>
      </w:r>
      <w:r w:rsidRPr="00AC2378">
        <w:rPr>
          <w:rFonts w:ascii="Palatino Linotype" w:eastAsiaTheme="minorEastAsia" w:hAnsi="Palatino Linotype" w:cstheme="majorBidi"/>
          <w:highlight w:val="cyan"/>
          <w:lang w:val="en-US"/>
        </w:rPr>
        <w:t xml:space="preserve">in Section </w:t>
      </w:r>
      <w:r w:rsidR="005370DF" w:rsidRPr="00AC2378">
        <w:rPr>
          <w:rFonts w:ascii="Palatino Linotype" w:eastAsiaTheme="minorEastAsia" w:hAnsi="Palatino Linotype" w:cstheme="majorBidi"/>
          <w:highlight w:val="cyan"/>
          <w:lang w:val="en-US"/>
        </w:rPr>
        <w:t>1</w:t>
      </w:r>
      <w:r w:rsidR="008F4F11" w:rsidRPr="00AC2378">
        <w:rPr>
          <w:rFonts w:ascii="Palatino Linotype" w:eastAsiaTheme="minorEastAsia" w:hAnsi="Palatino Linotype" w:cstheme="majorBidi"/>
          <w:highlight w:val="cyan"/>
          <w:lang w:val="en-US"/>
        </w:rPr>
        <w:t>6</w:t>
      </w:r>
      <w:r w:rsidR="005370DF"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of this Regulation shall be fulfilled even wh</w:t>
      </w:r>
      <w:r w:rsidR="00743DCC" w:rsidRPr="00321931">
        <w:rPr>
          <w:rFonts w:ascii="Palatino Linotype" w:eastAsiaTheme="minorEastAsia" w:hAnsi="Palatino Linotype" w:cstheme="majorBidi"/>
          <w:lang w:val="en-US"/>
        </w:rPr>
        <w:t>ere subsection (c) applies</w:t>
      </w:r>
      <w:r w:rsidR="00825184" w:rsidRPr="00321931">
        <w:rPr>
          <w:rFonts w:ascii="Palatino Linotype" w:eastAsiaTheme="minorEastAsia" w:hAnsi="Palatino Linotype" w:cstheme="majorBidi"/>
          <w:lang w:val="en-US"/>
        </w:rPr>
        <w:t>.</w:t>
      </w:r>
    </w:p>
    <w:p w14:paraId="45CFB496" w14:textId="77777777" w:rsidR="00AB1496" w:rsidRPr="00321931" w:rsidRDefault="00AB1496" w:rsidP="005A2309">
      <w:pPr>
        <w:rPr>
          <w:rFonts w:ascii="Palatino Linotype" w:hAnsi="Palatino Linotype" w:cstheme="majorBidi"/>
          <w:lang w:val="en-US" w:bidi="dv-MV"/>
        </w:rPr>
      </w:pPr>
    </w:p>
    <w:p w14:paraId="4C4FA78C" w14:textId="77777777" w:rsidR="00AB1496" w:rsidRPr="00321931" w:rsidRDefault="00141C83" w:rsidP="00105FDD">
      <w:pPr>
        <w:pStyle w:val="Heading2"/>
        <w:numPr>
          <w:ilvl w:val="0"/>
          <w:numId w:val="1"/>
        </w:numPr>
        <w:tabs>
          <w:tab w:val="left" w:pos="630"/>
        </w:tabs>
        <w:spacing w:before="0" w:after="120"/>
        <w:ind w:left="720" w:hanging="720"/>
        <w:rPr>
          <w:rFonts w:ascii="Palatino Linotype" w:hAnsi="Palatino Linotype"/>
          <w:color w:val="auto"/>
          <w:sz w:val="22"/>
          <w:szCs w:val="22"/>
          <w:lang w:val="en-GB"/>
        </w:rPr>
      </w:pPr>
      <w:bookmarkStart w:id="48" w:name="_Toc136789333"/>
      <w:r w:rsidRPr="00321931">
        <w:rPr>
          <w:rFonts w:ascii="Palatino Linotype" w:hAnsi="Palatino Linotype"/>
          <w:color w:val="auto"/>
          <w:sz w:val="22"/>
          <w:szCs w:val="22"/>
          <w:lang w:val="en-GB"/>
        </w:rPr>
        <w:t>Requirements of qualifying past transfer pricing documentation</w:t>
      </w:r>
      <w:bookmarkEnd w:id="48"/>
    </w:p>
    <w:p w14:paraId="26DB8386" w14:textId="06B51530" w:rsidR="00AB1496" w:rsidRPr="00321931" w:rsidRDefault="00E97E65" w:rsidP="000B490F">
      <w:pPr>
        <w:pStyle w:val="ListParagraph"/>
        <w:spacing w:after="120"/>
        <w:ind w:left="63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qualifying past transfer pricing documentation specified </w:t>
      </w:r>
      <w:r w:rsidRPr="002C67E1">
        <w:rPr>
          <w:rFonts w:ascii="Palatino Linotype" w:eastAsiaTheme="minorEastAsia" w:hAnsi="Palatino Linotype" w:cstheme="majorBidi"/>
          <w:highlight w:val="cyan"/>
          <w:lang w:val="en-US"/>
        </w:rPr>
        <w:t xml:space="preserve">in Section </w:t>
      </w:r>
      <w:r w:rsidR="00B86D47" w:rsidRPr="002C67E1">
        <w:rPr>
          <w:rFonts w:ascii="Palatino Linotype" w:eastAsiaTheme="minorEastAsia" w:hAnsi="Palatino Linotype" w:cstheme="majorBidi"/>
          <w:highlight w:val="cyan"/>
          <w:lang w:val="en-US"/>
        </w:rPr>
        <w:t>1</w:t>
      </w:r>
      <w:r w:rsidR="008F4F11" w:rsidRPr="002C67E1">
        <w:rPr>
          <w:rFonts w:ascii="Palatino Linotype" w:eastAsiaTheme="minorEastAsia" w:hAnsi="Palatino Linotype" w:cstheme="majorBidi"/>
          <w:highlight w:val="cyan"/>
          <w:lang w:val="en-US"/>
        </w:rPr>
        <w:t>5</w:t>
      </w:r>
      <w:r w:rsidR="00B86D47"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 xml:space="preserve">(a) and (c) of this Regulation shall </w:t>
      </w:r>
      <w:r w:rsidR="00E95E11" w:rsidRPr="00321931">
        <w:rPr>
          <w:rFonts w:ascii="Palatino Linotype" w:eastAsiaTheme="minorEastAsia" w:hAnsi="Palatino Linotype" w:cstheme="majorBidi"/>
          <w:lang w:val="en-US"/>
        </w:rPr>
        <w:t xml:space="preserve">satisfy </w:t>
      </w:r>
      <w:proofErr w:type="gramStart"/>
      <w:r w:rsidR="00E95E11" w:rsidRPr="00321931">
        <w:rPr>
          <w:rFonts w:ascii="Palatino Linotype" w:eastAsiaTheme="minorEastAsia" w:hAnsi="Palatino Linotype" w:cstheme="majorBidi"/>
          <w:lang w:val="en-US"/>
        </w:rPr>
        <w:t>all of</w:t>
      </w:r>
      <w:proofErr w:type="gramEnd"/>
      <w:r w:rsidR="00E95E11" w:rsidRPr="00321931">
        <w:rPr>
          <w:rFonts w:ascii="Palatino Linotype" w:eastAsiaTheme="minorEastAsia" w:hAnsi="Palatino Linotype" w:cstheme="majorBidi"/>
          <w:lang w:val="en-US"/>
        </w:rPr>
        <w:t xml:space="preserve"> the following conditions</w:t>
      </w:r>
      <w:r w:rsidRPr="00321931">
        <w:rPr>
          <w:rFonts w:ascii="Palatino Linotype" w:eastAsiaTheme="minorEastAsia" w:hAnsi="Palatino Linotype" w:cstheme="majorBidi"/>
          <w:lang w:val="en-US"/>
        </w:rPr>
        <w:t>:</w:t>
      </w:r>
    </w:p>
    <w:p w14:paraId="4E51611A" w14:textId="6BFA75BA" w:rsidR="00E97E65" w:rsidRPr="00321931" w:rsidRDefault="00E95E11" w:rsidP="00040A6D">
      <w:pPr>
        <w:pStyle w:val="ListParagraph"/>
        <w:numPr>
          <w:ilvl w:val="0"/>
          <w:numId w:val="6"/>
        </w:numPr>
        <w:spacing w:after="120"/>
        <w:ind w:left="1350" w:hanging="72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transfer pricing documentation is </w:t>
      </w:r>
      <w:r w:rsidR="00E97E65" w:rsidRPr="00321931">
        <w:rPr>
          <w:rFonts w:ascii="Palatino Linotype" w:eastAsiaTheme="minorEastAsia" w:hAnsi="Palatino Linotype" w:cstheme="majorBidi"/>
          <w:lang w:val="en-US"/>
        </w:rPr>
        <w:t xml:space="preserve">prepared in accordance with </w:t>
      </w:r>
      <w:r w:rsidR="00E97E65" w:rsidRPr="000B490F">
        <w:rPr>
          <w:rFonts w:ascii="Palatino Linotype" w:eastAsiaTheme="minorEastAsia" w:hAnsi="Palatino Linotype" w:cstheme="majorBidi"/>
          <w:highlight w:val="cyan"/>
          <w:lang w:val="en-US"/>
        </w:rPr>
        <w:t xml:space="preserve">Section </w:t>
      </w:r>
      <w:r w:rsidR="00B86D47" w:rsidRPr="000B490F">
        <w:rPr>
          <w:rFonts w:ascii="Palatino Linotype" w:eastAsiaTheme="minorEastAsia" w:hAnsi="Palatino Linotype" w:cstheme="majorBidi"/>
          <w:highlight w:val="cyan"/>
          <w:lang w:val="en-US"/>
        </w:rPr>
        <w:t>1</w:t>
      </w:r>
      <w:r w:rsidR="008F4F11" w:rsidRPr="000B490F">
        <w:rPr>
          <w:rFonts w:ascii="Palatino Linotype" w:eastAsiaTheme="minorEastAsia" w:hAnsi="Palatino Linotype" w:cstheme="majorBidi"/>
          <w:highlight w:val="cyan"/>
          <w:lang w:val="en-US"/>
        </w:rPr>
        <w:t>3</w:t>
      </w:r>
      <w:r w:rsidR="00B86D47" w:rsidRPr="00321931">
        <w:rPr>
          <w:rFonts w:ascii="Palatino Linotype" w:eastAsiaTheme="minorEastAsia" w:hAnsi="Palatino Linotype" w:cstheme="majorBidi"/>
          <w:lang w:val="en-US"/>
        </w:rPr>
        <w:t xml:space="preserve"> </w:t>
      </w:r>
      <w:r w:rsidR="00E97E65" w:rsidRPr="00321931">
        <w:rPr>
          <w:rFonts w:ascii="Palatino Linotype" w:eastAsiaTheme="minorEastAsia" w:hAnsi="Palatino Linotype" w:cstheme="majorBidi"/>
          <w:lang w:val="en-US"/>
        </w:rPr>
        <w:t xml:space="preserve">(a), (b), (c) and (d) of this </w:t>
      </w:r>
      <w:proofErr w:type="gramStart"/>
      <w:r w:rsidR="00E97E65" w:rsidRPr="00321931">
        <w:rPr>
          <w:rFonts w:ascii="Palatino Linotype" w:eastAsiaTheme="minorEastAsia" w:hAnsi="Palatino Linotype" w:cstheme="majorBidi"/>
          <w:lang w:val="en-US"/>
        </w:rPr>
        <w:t>Regulation;</w:t>
      </w:r>
      <w:proofErr w:type="gramEnd"/>
    </w:p>
    <w:p w14:paraId="23070FD8" w14:textId="77777777" w:rsidR="00E97E65" w:rsidRPr="00321931" w:rsidRDefault="008F20D2" w:rsidP="00040A6D">
      <w:pPr>
        <w:pStyle w:val="ListParagraph"/>
        <w:numPr>
          <w:ilvl w:val="0"/>
          <w:numId w:val="6"/>
        </w:numPr>
        <w:spacing w:after="120"/>
        <w:ind w:left="1350" w:hanging="72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w:t>
      </w:r>
      <w:r w:rsidR="00A74B3E" w:rsidRPr="00321931">
        <w:rPr>
          <w:rFonts w:ascii="Palatino Linotype" w:eastAsiaTheme="minorEastAsia" w:hAnsi="Palatino Linotype" w:cstheme="majorBidi"/>
          <w:lang w:val="en-US"/>
        </w:rPr>
        <w:t xml:space="preserve">transaction for which the transfer pricing documentation was prepared is of the same type of transaction or arrangement as the subject </w:t>
      </w:r>
      <w:proofErr w:type="gramStart"/>
      <w:r w:rsidR="00A74B3E" w:rsidRPr="00321931">
        <w:rPr>
          <w:rFonts w:ascii="Palatino Linotype" w:eastAsiaTheme="minorEastAsia" w:hAnsi="Palatino Linotype" w:cstheme="majorBidi"/>
          <w:lang w:val="en-US"/>
        </w:rPr>
        <w:t>transaction;</w:t>
      </w:r>
      <w:proofErr w:type="gramEnd"/>
    </w:p>
    <w:p w14:paraId="60F78C70" w14:textId="77777777" w:rsidR="00A74B3E" w:rsidRPr="00321931" w:rsidRDefault="008F20D2" w:rsidP="00040A6D">
      <w:pPr>
        <w:pStyle w:val="ListParagraph"/>
        <w:numPr>
          <w:ilvl w:val="0"/>
          <w:numId w:val="6"/>
        </w:numPr>
        <w:spacing w:after="120"/>
        <w:ind w:left="1350" w:hanging="72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w:t>
      </w:r>
      <w:r w:rsidR="00E95E11" w:rsidRPr="00321931">
        <w:rPr>
          <w:rFonts w:ascii="Palatino Linotype" w:eastAsiaTheme="minorEastAsia" w:hAnsi="Palatino Linotype" w:cstheme="majorBidi"/>
          <w:lang w:val="en-US"/>
        </w:rPr>
        <w:t xml:space="preserve">information in the transfer pricing documentation on </w:t>
      </w:r>
      <w:proofErr w:type="gramStart"/>
      <w:r w:rsidR="00E95E11" w:rsidRPr="00321931">
        <w:rPr>
          <w:rFonts w:ascii="Palatino Linotype" w:eastAsiaTheme="minorEastAsia" w:hAnsi="Palatino Linotype" w:cstheme="majorBidi"/>
          <w:lang w:val="en-US"/>
        </w:rPr>
        <w:t>all of</w:t>
      </w:r>
      <w:proofErr w:type="gramEnd"/>
      <w:r w:rsidR="00E95E11" w:rsidRPr="00321931">
        <w:rPr>
          <w:rFonts w:ascii="Palatino Linotype" w:eastAsiaTheme="minorEastAsia" w:hAnsi="Palatino Linotype" w:cstheme="majorBidi"/>
          <w:lang w:val="en-US"/>
        </w:rPr>
        <w:t xml:space="preserve"> the following matters accurately describes the same matters as regards the subject transaction:</w:t>
      </w:r>
    </w:p>
    <w:p w14:paraId="13D37CA8" w14:textId="77777777" w:rsidR="00E95E11" w:rsidRPr="00321931" w:rsidRDefault="00E95E11" w:rsidP="00040A6D">
      <w:pPr>
        <w:pStyle w:val="ListParagraph"/>
        <w:numPr>
          <w:ilvl w:val="0"/>
          <w:numId w:val="7"/>
        </w:numPr>
        <w:tabs>
          <w:tab w:val="left" w:pos="1980"/>
        </w:tabs>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commercial or financial relations between the </w:t>
      </w:r>
      <w:proofErr w:type="gramStart"/>
      <w:r w:rsidRPr="00321931">
        <w:rPr>
          <w:rFonts w:ascii="Palatino Linotype" w:eastAsiaTheme="minorEastAsia" w:hAnsi="Palatino Linotype" w:cstheme="majorBidi"/>
          <w:lang w:val="en-US"/>
        </w:rPr>
        <w:t>parties;</w:t>
      </w:r>
      <w:proofErr w:type="gramEnd"/>
    </w:p>
    <w:p w14:paraId="3361F5F3" w14:textId="77777777" w:rsidR="00E95E11" w:rsidRPr="00321931" w:rsidRDefault="00E95E11" w:rsidP="00040A6D">
      <w:pPr>
        <w:pStyle w:val="ListParagraph"/>
        <w:numPr>
          <w:ilvl w:val="0"/>
          <w:numId w:val="7"/>
        </w:numPr>
        <w:tabs>
          <w:tab w:val="left" w:pos="1980"/>
        </w:tabs>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w:t>
      </w:r>
      <w:r w:rsidR="00AC6C51" w:rsidRPr="00321931">
        <w:rPr>
          <w:rFonts w:ascii="Palatino Linotype" w:eastAsiaTheme="minorEastAsia" w:hAnsi="Palatino Linotype" w:cstheme="majorBidi"/>
          <w:lang w:val="en-US"/>
        </w:rPr>
        <w:t xml:space="preserve">terms and </w:t>
      </w:r>
      <w:r w:rsidRPr="00321931">
        <w:rPr>
          <w:rFonts w:ascii="Palatino Linotype" w:eastAsiaTheme="minorEastAsia" w:hAnsi="Palatino Linotype" w:cstheme="majorBidi"/>
          <w:lang w:val="en-US"/>
        </w:rPr>
        <w:t xml:space="preserve">conditions made or imposed between the </w:t>
      </w:r>
      <w:proofErr w:type="gramStart"/>
      <w:r w:rsidRPr="00321931">
        <w:rPr>
          <w:rFonts w:ascii="Palatino Linotype" w:eastAsiaTheme="minorEastAsia" w:hAnsi="Palatino Linotype" w:cstheme="majorBidi"/>
          <w:lang w:val="en-US"/>
        </w:rPr>
        <w:t>parties;</w:t>
      </w:r>
      <w:proofErr w:type="gramEnd"/>
    </w:p>
    <w:p w14:paraId="5025389A" w14:textId="77777777" w:rsidR="00E95E11" w:rsidRPr="00321931" w:rsidRDefault="00E95E11" w:rsidP="00040A6D">
      <w:pPr>
        <w:pStyle w:val="ListParagraph"/>
        <w:numPr>
          <w:ilvl w:val="0"/>
          <w:numId w:val="7"/>
        </w:numPr>
        <w:tabs>
          <w:tab w:val="left" w:pos="1980"/>
        </w:tabs>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the transfer pricing method that is used for the transaction</w:t>
      </w:r>
      <w:r w:rsidR="00143531" w:rsidRPr="00321931">
        <w:rPr>
          <w:rFonts w:ascii="Palatino Linotype" w:eastAsiaTheme="minorEastAsia" w:hAnsi="Palatino Linotype" w:cstheme="majorBidi"/>
          <w:lang w:val="en-US"/>
        </w:rPr>
        <w:t xml:space="preserve"> or </w:t>
      </w:r>
      <w:proofErr w:type="gramStart"/>
      <w:r w:rsidR="00143531" w:rsidRPr="00321931">
        <w:rPr>
          <w:rFonts w:ascii="Palatino Linotype" w:eastAsiaTheme="minorEastAsia" w:hAnsi="Palatino Linotype" w:cstheme="majorBidi"/>
          <w:lang w:val="en-US"/>
        </w:rPr>
        <w:t>arrangement</w:t>
      </w:r>
      <w:r w:rsidRPr="00321931">
        <w:rPr>
          <w:rFonts w:ascii="Palatino Linotype" w:eastAsiaTheme="minorEastAsia" w:hAnsi="Palatino Linotype" w:cstheme="majorBidi"/>
          <w:lang w:val="en-US"/>
        </w:rPr>
        <w:t>;</w:t>
      </w:r>
      <w:proofErr w:type="gramEnd"/>
    </w:p>
    <w:p w14:paraId="3EF9572B" w14:textId="77777777" w:rsidR="00E95E11" w:rsidRPr="00321931" w:rsidRDefault="00E95E11" w:rsidP="00040A6D">
      <w:pPr>
        <w:pStyle w:val="ListParagraph"/>
        <w:numPr>
          <w:ilvl w:val="0"/>
          <w:numId w:val="7"/>
        </w:numPr>
        <w:tabs>
          <w:tab w:val="left" w:pos="1980"/>
        </w:tabs>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arm’s length </w:t>
      </w:r>
      <w:r w:rsidR="00AC6C51" w:rsidRPr="00321931">
        <w:rPr>
          <w:rFonts w:ascii="Palatino Linotype" w:eastAsiaTheme="minorEastAsia" w:hAnsi="Palatino Linotype" w:cstheme="majorBidi"/>
          <w:lang w:val="en-US"/>
        </w:rPr>
        <w:t xml:space="preserve">terms </w:t>
      </w:r>
      <w:r w:rsidR="003A17D0" w:rsidRPr="00321931">
        <w:rPr>
          <w:rFonts w:ascii="Palatino Linotype" w:eastAsiaTheme="minorEastAsia" w:hAnsi="Palatino Linotype" w:cstheme="majorBidi"/>
          <w:lang w:val="en-US"/>
        </w:rPr>
        <w:t xml:space="preserve">as defined in Section </w:t>
      </w:r>
      <w:r w:rsidRPr="00321931">
        <w:rPr>
          <w:rFonts w:ascii="Palatino Linotype" w:eastAsiaTheme="minorEastAsia" w:hAnsi="Palatino Linotype" w:cstheme="majorBidi"/>
          <w:lang w:val="en-US"/>
        </w:rPr>
        <w:t>79</w:t>
      </w:r>
      <w:r w:rsidR="002C48F3" w:rsidRPr="00321931">
        <w:rPr>
          <w:rFonts w:ascii="Palatino Linotype" w:eastAsiaTheme="minorEastAsia" w:hAnsi="Palatino Linotype" w:cstheme="majorBidi"/>
          <w:lang w:val="en-US"/>
        </w:rPr>
        <w:t>(r)</w:t>
      </w:r>
      <w:r w:rsidRPr="00321931">
        <w:rPr>
          <w:rFonts w:ascii="Palatino Linotype" w:eastAsiaTheme="minorEastAsia" w:hAnsi="Palatino Linotype" w:cstheme="majorBidi"/>
          <w:lang w:val="en-US"/>
        </w:rPr>
        <w:t xml:space="preserve"> of the Act</w:t>
      </w:r>
      <w:r w:rsidR="00AC6C51" w:rsidRPr="00321931">
        <w:rPr>
          <w:rFonts w:ascii="Palatino Linotype" w:eastAsiaTheme="minorEastAsia" w:hAnsi="Palatino Linotype" w:cstheme="majorBidi"/>
          <w:lang w:val="en-US"/>
        </w:rPr>
        <w:t>, applied in the transaction or arrangement</w:t>
      </w:r>
      <w:r w:rsidRPr="00321931">
        <w:rPr>
          <w:rFonts w:ascii="Palatino Linotype" w:eastAsiaTheme="minorEastAsia" w:hAnsi="Palatino Linotype" w:cstheme="majorBidi"/>
          <w:lang w:val="en-US"/>
        </w:rPr>
        <w:t>.</w:t>
      </w:r>
    </w:p>
    <w:p w14:paraId="7E91E3AF" w14:textId="77777777" w:rsidR="009C5E03" w:rsidRPr="00321931" w:rsidRDefault="009C5E03" w:rsidP="005A2309">
      <w:pPr>
        <w:spacing w:after="120"/>
        <w:ind w:left="360"/>
        <w:jc w:val="both"/>
        <w:rPr>
          <w:rFonts w:ascii="Palatino Linotype" w:eastAsiaTheme="minorEastAsia" w:hAnsi="Palatino Linotype" w:cstheme="majorBidi"/>
          <w:lang w:val="en-US"/>
        </w:rPr>
      </w:pPr>
    </w:p>
    <w:p w14:paraId="3DD8B353" w14:textId="77777777" w:rsidR="009C5E03" w:rsidRPr="00321931" w:rsidRDefault="004628C8" w:rsidP="00105FDD">
      <w:pPr>
        <w:pStyle w:val="Heading2"/>
        <w:numPr>
          <w:ilvl w:val="0"/>
          <w:numId w:val="1"/>
        </w:numPr>
        <w:tabs>
          <w:tab w:val="left" w:pos="630"/>
        </w:tabs>
        <w:spacing w:before="0" w:after="120"/>
        <w:ind w:left="720" w:hanging="720"/>
        <w:rPr>
          <w:rFonts w:ascii="Palatino Linotype" w:hAnsi="Palatino Linotype"/>
          <w:color w:val="auto"/>
          <w:sz w:val="22"/>
          <w:szCs w:val="22"/>
          <w:lang w:val="en-GB"/>
        </w:rPr>
      </w:pPr>
      <w:bookmarkStart w:id="49" w:name="_Toc136789334"/>
      <w:r w:rsidRPr="00321931">
        <w:rPr>
          <w:rFonts w:ascii="Palatino Linotype" w:hAnsi="Palatino Linotype"/>
          <w:color w:val="auto"/>
          <w:sz w:val="22"/>
          <w:szCs w:val="22"/>
          <w:lang w:val="en-GB"/>
        </w:rPr>
        <w:lastRenderedPageBreak/>
        <w:t>Exemptions</w:t>
      </w:r>
      <w:bookmarkEnd w:id="49"/>
    </w:p>
    <w:p w14:paraId="3D644FA5" w14:textId="02834F9E" w:rsidR="004C3092" w:rsidRPr="00321931" w:rsidRDefault="00147DA4" w:rsidP="003C1D36">
      <w:pPr>
        <w:pStyle w:val="ListParagraph"/>
        <w:spacing w:after="120"/>
        <w:ind w:left="63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Transfer pricing documentation need not be prepared for a transaction </w:t>
      </w:r>
      <w:r w:rsidR="008121B8" w:rsidRPr="00321931">
        <w:rPr>
          <w:rFonts w:ascii="Palatino Linotype" w:eastAsiaTheme="minorEastAsia" w:hAnsi="Palatino Linotype" w:cstheme="majorBidi"/>
          <w:lang w:val="en-US"/>
        </w:rPr>
        <w:t xml:space="preserve">or arrangement </w:t>
      </w:r>
      <w:r w:rsidRPr="00321931">
        <w:rPr>
          <w:rFonts w:ascii="Palatino Linotype" w:eastAsiaTheme="minorEastAsia" w:hAnsi="Palatino Linotype" w:cstheme="majorBidi"/>
          <w:lang w:val="en-US"/>
        </w:rPr>
        <w:t xml:space="preserve">undertaken by </w:t>
      </w:r>
      <w:r w:rsidR="00695F9E" w:rsidRPr="00321931">
        <w:rPr>
          <w:rFonts w:ascii="Palatino Linotype" w:eastAsiaTheme="minorEastAsia" w:hAnsi="Palatino Linotype" w:cstheme="majorBidi"/>
          <w:lang w:val="en-US"/>
        </w:rPr>
        <w:t>a taxpayer</w:t>
      </w:r>
      <w:r w:rsidRPr="00321931">
        <w:rPr>
          <w:rFonts w:ascii="Palatino Linotype" w:eastAsiaTheme="minorEastAsia" w:hAnsi="Palatino Linotype" w:cstheme="majorBidi"/>
          <w:lang w:val="en-US"/>
        </w:rPr>
        <w:t xml:space="preserve"> with its </w:t>
      </w:r>
      <w:r w:rsidR="003A17D0" w:rsidRPr="00321931">
        <w:rPr>
          <w:rFonts w:ascii="Palatino Linotype" w:eastAsiaTheme="minorEastAsia" w:hAnsi="Palatino Linotype" w:cstheme="majorBidi"/>
          <w:lang w:val="en-US"/>
        </w:rPr>
        <w:t xml:space="preserve">associated </w:t>
      </w:r>
      <w:r w:rsidRPr="00321931">
        <w:rPr>
          <w:rFonts w:ascii="Palatino Linotype" w:eastAsiaTheme="minorEastAsia" w:hAnsi="Palatino Linotype" w:cstheme="majorBidi"/>
          <w:lang w:val="en-US"/>
        </w:rPr>
        <w:t>party</w:t>
      </w:r>
      <w:r w:rsidR="00BA27F2" w:rsidRPr="00321931">
        <w:rPr>
          <w:rFonts w:ascii="Palatino Linotype" w:eastAsiaTheme="minorEastAsia" w:hAnsi="Palatino Linotype" w:cstheme="majorBidi"/>
          <w:lang w:val="en-US"/>
        </w:rPr>
        <w:t xml:space="preserve"> in the following circumstances</w:t>
      </w:r>
      <w:r w:rsidRPr="00321931">
        <w:rPr>
          <w:rFonts w:ascii="Palatino Linotype" w:eastAsiaTheme="minorEastAsia" w:hAnsi="Palatino Linotype" w:cstheme="majorBidi"/>
          <w:lang w:val="en-US"/>
        </w:rPr>
        <w:t>:</w:t>
      </w:r>
    </w:p>
    <w:p w14:paraId="7A265B9A" w14:textId="77777777" w:rsidR="00A647F9" w:rsidRPr="003C1D36" w:rsidRDefault="00A647F9" w:rsidP="00040A6D">
      <w:pPr>
        <w:pStyle w:val="ListParagraph"/>
        <w:numPr>
          <w:ilvl w:val="0"/>
          <w:numId w:val="8"/>
        </w:numPr>
        <w:spacing w:after="120"/>
        <w:ind w:left="1350" w:hanging="630"/>
        <w:contextualSpacing w:val="0"/>
        <w:jc w:val="both"/>
        <w:rPr>
          <w:rFonts w:ascii="Palatino Linotype" w:eastAsiaTheme="minorEastAsia" w:hAnsi="Palatino Linotype" w:cstheme="majorBidi"/>
          <w:highlight w:val="cyan"/>
          <w:lang w:val="en-US"/>
        </w:rPr>
      </w:pPr>
      <w:r w:rsidRPr="003C1D36">
        <w:rPr>
          <w:rFonts w:ascii="Palatino Linotype" w:eastAsiaTheme="minorEastAsia" w:hAnsi="Palatino Linotype" w:cstheme="majorBidi"/>
          <w:highlight w:val="cyan"/>
          <w:lang w:val="en-US"/>
        </w:rPr>
        <w:t xml:space="preserve">The transaction satisfies all of the following conditions and is not a loan </w:t>
      </w:r>
      <w:proofErr w:type="gramStart"/>
      <w:r w:rsidRPr="003C1D36">
        <w:rPr>
          <w:rFonts w:ascii="Palatino Linotype" w:eastAsiaTheme="minorEastAsia" w:hAnsi="Palatino Linotype" w:cstheme="majorBidi"/>
          <w:highlight w:val="cyan"/>
          <w:lang w:val="en-US"/>
        </w:rPr>
        <w:t>transaction;</w:t>
      </w:r>
      <w:proofErr w:type="gramEnd"/>
    </w:p>
    <w:p w14:paraId="2C95271F" w14:textId="77777777" w:rsidR="00A647F9" w:rsidRPr="00321931" w:rsidRDefault="00A647F9" w:rsidP="00040A6D">
      <w:pPr>
        <w:pStyle w:val="ListParagraph"/>
        <w:numPr>
          <w:ilvl w:val="0"/>
          <w:numId w:val="9"/>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each party to the transaction is either incorporated or registered in Maldives or carries on a business in </w:t>
      </w:r>
      <w:proofErr w:type="gramStart"/>
      <w:r w:rsidRPr="00321931">
        <w:rPr>
          <w:rFonts w:ascii="Palatino Linotype" w:eastAsiaTheme="minorEastAsia" w:hAnsi="Palatino Linotype" w:cstheme="majorBidi"/>
          <w:lang w:val="en-US"/>
        </w:rPr>
        <w:t>Maldives</w:t>
      </w:r>
      <w:r w:rsidRPr="00321931">
        <w:rPr>
          <w:rFonts w:ascii="Palatino Linotype" w:hAnsi="Palatino Linotype" w:cstheme="majorBidi"/>
          <w:sz w:val="21"/>
          <w:szCs w:val="21"/>
        </w:rPr>
        <w:t>;</w:t>
      </w:r>
      <w:proofErr w:type="gramEnd"/>
    </w:p>
    <w:p w14:paraId="710A939F" w14:textId="77777777" w:rsidR="00A647F9" w:rsidRPr="00321931" w:rsidRDefault="00D531CA" w:rsidP="00040A6D">
      <w:pPr>
        <w:pStyle w:val="ListParagraph"/>
        <w:numPr>
          <w:ilvl w:val="0"/>
          <w:numId w:val="9"/>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w:t>
      </w:r>
      <w:r w:rsidR="00A647F9" w:rsidRPr="00321931">
        <w:rPr>
          <w:rFonts w:ascii="Palatino Linotype" w:eastAsiaTheme="minorEastAsia" w:hAnsi="Palatino Linotype" w:cstheme="majorBidi"/>
          <w:lang w:val="en-US"/>
        </w:rPr>
        <w:t>income derived by</w:t>
      </w:r>
      <w:r w:rsidR="00E043D4" w:rsidRPr="00321931">
        <w:rPr>
          <w:rFonts w:ascii="Palatino Linotype" w:eastAsiaTheme="minorEastAsia" w:hAnsi="Palatino Linotype" w:cstheme="majorBidi"/>
          <w:lang w:val="en-US"/>
        </w:rPr>
        <w:t xml:space="preserve"> the</w:t>
      </w:r>
      <w:r w:rsidR="00A647F9" w:rsidRPr="00321931">
        <w:rPr>
          <w:rFonts w:ascii="Palatino Linotype" w:eastAsiaTheme="minorEastAsia" w:hAnsi="Palatino Linotype" w:cstheme="majorBidi"/>
          <w:lang w:val="en-US"/>
        </w:rPr>
        <w:t xml:space="preserve"> </w:t>
      </w:r>
      <w:r w:rsidRPr="00321931">
        <w:rPr>
          <w:rFonts w:ascii="Palatino Linotype" w:eastAsiaTheme="minorEastAsia" w:hAnsi="Palatino Linotype" w:cstheme="majorBidi"/>
          <w:lang w:val="en-US"/>
        </w:rPr>
        <w:t xml:space="preserve">first party </w:t>
      </w:r>
      <w:r w:rsidR="00BD08D8" w:rsidRPr="00321931">
        <w:rPr>
          <w:rFonts w:ascii="Palatino Linotype" w:eastAsiaTheme="minorEastAsia" w:hAnsi="Palatino Linotype" w:cstheme="majorBidi"/>
          <w:lang w:val="en-US"/>
        </w:rPr>
        <w:t xml:space="preserve">to the transaction </w:t>
      </w:r>
      <w:r w:rsidRPr="00321931">
        <w:rPr>
          <w:rFonts w:ascii="Palatino Linotype" w:eastAsiaTheme="minorEastAsia" w:hAnsi="Palatino Linotype" w:cstheme="majorBidi"/>
          <w:lang w:val="en-US"/>
        </w:rPr>
        <w:t>from</w:t>
      </w:r>
      <w:r w:rsidR="00A647F9" w:rsidRPr="00321931">
        <w:rPr>
          <w:rFonts w:ascii="Palatino Linotype" w:eastAsiaTheme="minorEastAsia" w:hAnsi="Palatino Linotype" w:cstheme="majorBidi"/>
          <w:lang w:val="en-US"/>
        </w:rPr>
        <w:t xml:space="preserve"> the transaction is subject to tax </w:t>
      </w:r>
      <w:r w:rsidRPr="00321931">
        <w:rPr>
          <w:rFonts w:ascii="Palatino Linotype" w:eastAsiaTheme="minorEastAsia" w:hAnsi="Palatino Linotype" w:cstheme="majorBidi"/>
          <w:lang w:val="en-US"/>
        </w:rPr>
        <w:t xml:space="preserve">under the </w:t>
      </w:r>
      <w:proofErr w:type="gramStart"/>
      <w:r w:rsidRPr="00321931">
        <w:rPr>
          <w:rFonts w:ascii="Palatino Linotype" w:eastAsiaTheme="minorEastAsia" w:hAnsi="Palatino Linotype" w:cstheme="majorBidi"/>
          <w:lang w:val="en-US"/>
        </w:rPr>
        <w:t>Act</w:t>
      </w:r>
      <w:r w:rsidR="00A647F9" w:rsidRPr="00321931">
        <w:rPr>
          <w:rFonts w:ascii="Palatino Linotype" w:eastAsiaTheme="minorEastAsia" w:hAnsi="Palatino Linotype" w:cstheme="majorBidi"/>
          <w:lang w:val="en-US"/>
        </w:rPr>
        <w:t>;</w:t>
      </w:r>
      <w:proofErr w:type="gramEnd"/>
    </w:p>
    <w:p w14:paraId="3DCE1FEA" w14:textId="7145268E" w:rsidR="00A647F9" w:rsidRPr="00321931" w:rsidRDefault="00717FAE" w:rsidP="00040A6D">
      <w:pPr>
        <w:pStyle w:val="ListParagraph"/>
        <w:numPr>
          <w:ilvl w:val="0"/>
          <w:numId w:val="9"/>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the amount paid or payable by the second party to the first party is deductible</w:t>
      </w:r>
      <w:r w:rsidR="00597608" w:rsidRPr="00321931">
        <w:rPr>
          <w:rFonts w:ascii="Palatino Linotype" w:eastAsiaTheme="minorEastAsia" w:hAnsi="Palatino Linotype" w:cstheme="majorBidi"/>
          <w:lang w:val="en-US"/>
        </w:rPr>
        <w:t xml:space="preserve"> in the computation of taxable income of the second party</w:t>
      </w:r>
      <w:r w:rsidRPr="00321931">
        <w:rPr>
          <w:rFonts w:ascii="Palatino Linotype" w:eastAsiaTheme="minorEastAsia" w:hAnsi="Palatino Linotype" w:cstheme="majorBidi"/>
          <w:lang w:val="en-US"/>
        </w:rPr>
        <w:t xml:space="preserve"> only against income of that second party which is subject to tax at the same rate </w:t>
      </w:r>
      <w:r w:rsidR="004E283E" w:rsidRPr="00321931">
        <w:rPr>
          <w:rFonts w:ascii="Palatino Linotype" w:eastAsiaTheme="minorEastAsia" w:hAnsi="Palatino Linotype" w:cstheme="majorBidi"/>
          <w:lang w:val="en-US"/>
        </w:rPr>
        <w:t xml:space="preserve">applicable </w:t>
      </w:r>
      <w:r w:rsidR="00D601E3" w:rsidRPr="00321931">
        <w:rPr>
          <w:rFonts w:ascii="Palatino Linotype" w:eastAsiaTheme="minorEastAsia" w:hAnsi="Palatino Linotype" w:cstheme="majorBidi"/>
          <w:lang w:val="en-US"/>
        </w:rPr>
        <w:t>to</w:t>
      </w:r>
      <w:r w:rsidR="004E283E" w:rsidRPr="00321931">
        <w:rPr>
          <w:rFonts w:ascii="Palatino Linotype" w:eastAsiaTheme="minorEastAsia" w:hAnsi="Palatino Linotype" w:cstheme="majorBidi"/>
          <w:lang w:val="en-US"/>
        </w:rPr>
        <w:t xml:space="preserve"> the income </w:t>
      </w:r>
      <w:r w:rsidRPr="00321931">
        <w:rPr>
          <w:rFonts w:ascii="Palatino Linotype" w:eastAsiaTheme="minorEastAsia" w:hAnsi="Palatino Linotype" w:cstheme="majorBidi"/>
          <w:lang w:val="en-US"/>
        </w:rPr>
        <w:t>specified in subsection (</w:t>
      </w:r>
      <w:r w:rsidR="00B45FA1" w:rsidRPr="00321931">
        <w:rPr>
          <w:rFonts w:ascii="Palatino Linotype" w:eastAsiaTheme="minorEastAsia" w:hAnsi="Palatino Linotype" w:cstheme="majorBidi"/>
          <w:lang w:val="en-US"/>
        </w:rPr>
        <w:t>a</w:t>
      </w:r>
      <w:r w:rsidRPr="00321931">
        <w:rPr>
          <w:rFonts w:ascii="Palatino Linotype" w:eastAsiaTheme="minorEastAsia" w:hAnsi="Palatino Linotype" w:cstheme="majorBidi"/>
          <w:lang w:val="en-US"/>
        </w:rPr>
        <w:t>)(2</w:t>
      </w:r>
      <w:r w:rsidR="00CA3B94" w:rsidRPr="00321931">
        <w:rPr>
          <w:rFonts w:ascii="Palatino Linotype" w:eastAsiaTheme="minorEastAsia" w:hAnsi="Palatino Linotype" w:cstheme="majorBidi"/>
          <w:lang w:val="en-US"/>
        </w:rPr>
        <w:t>) received</w:t>
      </w:r>
      <w:r w:rsidR="00D601E3" w:rsidRPr="00321931">
        <w:rPr>
          <w:rFonts w:ascii="Palatino Linotype" w:eastAsiaTheme="minorEastAsia" w:hAnsi="Palatino Linotype" w:cstheme="majorBidi"/>
          <w:lang w:val="en-US"/>
        </w:rPr>
        <w:t xml:space="preserve"> by the first </w:t>
      </w:r>
      <w:r w:rsidR="00944A11" w:rsidRPr="00321931">
        <w:rPr>
          <w:rFonts w:ascii="Palatino Linotype" w:eastAsiaTheme="minorEastAsia" w:hAnsi="Palatino Linotype" w:cstheme="majorBidi"/>
          <w:lang w:val="en-US"/>
        </w:rPr>
        <w:t>party.</w:t>
      </w:r>
    </w:p>
    <w:p w14:paraId="27AB363E" w14:textId="77777777" w:rsidR="000D3D1D" w:rsidRPr="00321931" w:rsidRDefault="000D3D1D" w:rsidP="00040A6D">
      <w:pPr>
        <w:pStyle w:val="ListParagraph"/>
        <w:numPr>
          <w:ilvl w:val="0"/>
          <w:numId w:val="8"/>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transaction satisfies all of the following conditions and is not a loan </w:t>
      </w:r>
      <w:proofErr w:type="gramStart"/>
      <w:r w:rsidRPr="00321931">
        <w:rPr>
          <w:rFonts w:ascii="Palatino Linotype" w:eastAsiaTheme="minorEastAsia" w:hAnsi="Palatino Linotype" w:cstheme="majorBidi"/>
          <w:lang w:val="en-US"/>
        </w:rPr>
        <w:t>transaction;</w:t>
      </w:r>
      <w:proofErr w:type="gramEnd"/>
    </w:p>
    <w:p w14:paraId="6E4CA104" w14:textId="77777777" w:rsidR="000D3D1D" w:rsidRPr="00321931" w:rsidRDefault="000D3D1D" w:rsidP="00040A6D">
      <w:pPr>
        <w:pStyle w:val="ListParagraph"/>
        <w:numPr>
          <w:ilvl w:val="0"/>
          <w:numId w:val="10"/>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each party to the transaction is either incorporated or registered in Maldives or carries on a business in </w:t>
      </w:r>
      <w:proofErr w:type="gramStart"/>
      <w:r w:rsidRPr="00321931">
        <w:rPr>
          <w:rFonts w:ascii="Palatino Linotype" w:eastAsiaTheme="minorEastAsia" w:hAnsi="Palatino Linotype" w:cstheme="majorBidi"/>
          <w:lang w:val="en-US"/>
        </w:rPr>
        <w:t>Maldives</w:t>
      </w:r>
      <w:r w:rsidRPr="00321931">
        <w:rPr>
          <w:rFonts w:ascii="Palatino Linotype" w:hAnsi="Palatino Linotype" w:cstheme="majorBidi"/>
          <w:sz w:val="21"/>
          <w:szCs w:val="21"/>
        </w:rPr>
        <w:t>;</w:t>
      </w:r>
      <w:proofErr w:type="gramEnd"/>
    </w:p>
    <w:p w14:paraId="0CCA1503" w14:textId="77777777" w:rsidR="00C105B2" w:rsidRPr="00321931" w:rsidRDefault="00C105B2" w:rsidP="00040A6D">
      <w:pPr>
        <w:pStyle w:val="ListParagraph"/>
        <w:numPr>
          <w:ilvl w:val="0"/>
          <w:numId w:val="10"/>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income derived by the first party </w:t>
      </w:r>
      <w:r w:rsidR="00BD08D8" w:rsidRPr="00321931">
        <w:rPr>
          <w:rFonts w:ascii="Palatino Linotype" w:eastAsiaTheme="minorEastAsia" w:hAnsi="Palatino Linotype" w:cstheme="majorBidi"/>
          <w:lang w:val="en-US"/>
        </w:rPr>
        <w:t xml:space="preserve">to the transaction </w:t>
      </w:r>
      <w:r w:rsidRPr="00321931">
        <w:rPr>
          <w:rFonts w:ascii="Palatino Linotype" w:eastAsiaTheme="minorEastAsia" w:hAnsi="Palatino Linotype" w:cstheme="majorBidi"/>
          <w:lang w:val="en-US"/>
        </w:rPr>
        <w:t>from the transaction is exempt</w:t>
      </w:r>
      <w:r w:rsidR="008B619D" w:rsidRPr="00321931">
        <w:rPr>
          <w:rFonts w:ascii="Palatino Linotype" w:eastAsiaTheme="minorEastAsia" w:hAnsi="Palatino Linotype" w:cstheme="majorBidi"/>
          <w:lang w:val="en-US"/>
        </w:rPr>
        <w:t xml:space="preserve">ed from tax </w:t>
      </w:r>
      <w:r w:rsidRPr="00321931">
        <w:rPr>
          <w:rFonts w:ascii="Palatino Linotype" w:eastAsiaTheme="minorEastAsia" w:hAnsi="Palatino Linotype" w:cstheme="majorBidi"/>
          <w:lang w:val="en-US"/>
        </w:rPr>
        <w:t xml:space="preserve">under the </w:t>
      </w:r>
      <w:proofErr w:type="gramStart"/>
      <w:r w:rsidRPr="00321931">
        <w:rPr>
          <w:rFonts w:ascii="Palatino Linotype" w:eastAsiaTheme="minorEastAsia" w:hAnsi="Palatino Linotype" w:cstheme="majorBidi"/>
          <w:lang w:val="en-US"/>
        </w:rPr>
        <w:t>Act;</w:t>
      </w:r>
      <w:proofErr w:type="gramEnd"/>
    </w:p>
    <w:p w14:paraId="3F94BFA0" w14:textId="77777777" w:rsidR="00851C01" w:rsidRPr="00321931" w:rsidRDefault="007C1940" w:rsidP="00040A6D">
      <w:pPr>
        <w:pStyle w:val="ListParagraph"/>
        <w:numPr>
          <w:ilvl w:val="0"/>
          <w:numId w:val="10"/>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amount paid or payable by the </w:t>
      </w:r>
      <w:r w:rsidR="00644CC4" w:rsidRPr="00321931">
        <w:rPr>
          <w:rFonts w:ascii="Palatino Linotype" w:eastAsiaTheme="minorEastAsia" w:hAnsi="Palatino Linotype" w:cstheme="majorBidi"/>
          <w:lang w:val="en-US"/>
        </w:rPr>
        <w:t>second</w:t>
      </w:r>
      <w:r w:rsidRPr="00321931">
        <w:rPr>
          <w:rFonts w:ascii="Palatino Linotype" w:eastAsiaTheme="minorEastAsia" w:hAnsi="Palatino Linotype" w:cstheme="majorBidi"/>
          <w:lang w:val="en-US"/>
        </w:rPr>
        <w:t xml:space="preserve"> party to the </w:t>
      </w:r>
      <w:r w:rsidR="00644CC4" w:rsidRPr="00321931">
        <w:rPr>
          <w:rFonts w:ascii="Palatino Linotype" w:eastAsiaTheme="minorEastAsia" w:hAnsi="Palatino Linotype" w:cstheme="majorBidi"/>
          <w:lang w:val="en-US"/>
        </w:rPr>
        <w:t xml:space="preserve">first </w:t>
      </w:r>
      <w:r w:rsidRPr="00321931">
        <w:rPr>
          <w:rFonts w:ascii="Palatino Linotype" w:eastAsiaTheme="minorEastAsia" w:hAnsi="Palatino Linotype" w:cstheme="majorBidi"/>
          <w:lang w:val="en-US"/>
        </w:rPr>
        <w:t xml:space="preserve">party is not </w:t>
      </w:r>
      <w:r w:rsidR="00CA3B94" w:rsidRPr="00321931">
        <w:rPr>
          <w:rFonts w:ascii="Palatino Linotype" w:eastAsiaTheme="minorEastAsia" w:hAnsi="Palatino Linotype" w:cstheme="majorBidi"/>
          <w:lang w:val="en-US"/>
        </w:rPr>
        <w:t>deductible in</w:t>
      </w:r>
      <w:r w:rsidR="00E929EF" w:rsidRPr="00321931">
        <w:rPr>
          <w:rFonts w:ascii="Palatino Linotype" w:eastAsiaTheme="minorEastAsia" w:hAnsi="Palatino Linotype" w:cstheme="majorBidi"/>
          <w:lang w:val="en-US"/>
        </w:rPr>
        <w:t xml:space="preserve"> the computation of taxable income of the second party </w:t>
      </w:r>
      <w:r w:rsidRPr="00321931">
        <w:rPr>
          <w:rFonts w:ascii="Palatino Linotype" w:eastAsiaTheme="minorEastAsia" w:hAnsi="Palatino Linotype" w:cstheme="majorBidi"/>
          <w:lang w:val="en-US"/>
        </w:rPr>
        <w:t xml:space="preserve">against any income of that </w:t>
      </w:r>
      <w:r w:rsidR="00644CC4" w:rsidRPr="00321931">
        <w:rPr>
          <w:rFonts w:ascii="Palatino Linotype" w:eastAsiaTheme="minorEastAsia" w:hAnsi="Palatino Linotype" w:cstheme="majorBidi"/>
          <w:lang w:val="en-US"/>
        </w:rPr>
        <w:t>second</w:t>
      </w:r>
      <w:r w:rsidRPr="00321931">
        <w:rPr>
          <w:rFonts w:ascii="Palatino Linotype" w:eastAsiaTheme="minorEastAsia" w:hAnsi="Palatino Linotype" w:cstheme="majorBidi"/>
          <w:lang w:val="en-US"/>
        </w:rPr>
        <w:t xml:space="preserve"> party, or is deduct</w:t>
      </w:r>
      <w:r w:rsidR="006A4C0B" w:rsidRPr="00321931">
        <w:rPr>
          <w:rFonts w:ascii="Palatino Linotype" w:eastAsiaTheme="minorEastAsia" w:hAnsi="Palatino Linotype" w:cstheme="majorBidi"/>
          <w:lang w:val="en-US"/>
        </w:rPr>
        <w:t>ible</w:t>
      </w:r>
      <w:r w:rsidR="00644CC4" w:rsidRPr="00321931">
        <w:rPr>
          <w:rFonts w:ascii="Palatino Linotype" w:eastAsiaTheme="minorEastAsia" w:hAnsi="Palatino Linotype" w:cstheme="majorBidi"/>
          <w:lang w:val="en-US"/>
        </w:rPr>
        <w:t xml:space="preserve"> only from </w:t>
      </w:r>
      <w:r w:rsidRPr="00321931">
        <w:rPr>
          <w:rFonts w:ascii="Palatino Linotype" w:eastAsiaTheme="minorEastAsia" w:hAnsi="Palatino Linotype" w:cstheme="majorBidi"/>
          <w:lang w:val="en-US"/>
        </w:rPr>
        <w:t xml:space="preserve">income of the </w:t>
      </w:r>
      <w:r w:rsidR="00644CC4" w:rsidRPr="00321931">
        <w:rPr>
          <w:rFonts w:ascii="Palatino Linotype" w:eastAsiaTheme="minorEastAsia" w:hAnsi="Palatino Linotype" w:cstheme="majorBidi"/>
          <w:lang w:val="en-US"/>
        </w:rPr>
        <w:t>second</w:t>
      </w:r>
      <w:r w:rsidRPr="00321931">
        <w:rPr>
          <w:rFonts w:ascii="Palatino Linotype" w:eastAsiaTheme="minorEastAsia" w:hAnsi="Palatino Linotype" w:cstheme="majorBidi"/>
          <w:lang w:val="en-US"/>
        </w:rPr>
        <w:t xml:space="preserve"> party which is exempt from </w:t>
      </w:r>
      <w:proofErr w:type="gramStart"/>
      <w:r w:rsidRPr="00321931">
        <w:rPr>
          <w:rFonts w:ascii="Palatino Linotype" w:eastAsiaTheme="minorEastAsia" w:hAnsi="Palatino Linotype" w:cstheme="majorBidi"/>
          <w:lang w:val="en-US"/>
        </w:rPr>
        <w:t>tax;</w:t>
      </w:r>
      <w:proofErr w:type="gramEnd"/>
    </w:p>
    <w:p w14:paraId="4888250E" w14:textId="77777777" w:rsidR="00644CC4" w:rsidRPr="00321931" w:rsidRDefault="00C817D0" w:rsidP="00040A6D">
      <w:pPr>
        <w:pStyle w:val="ListParagraph"/>
        <w:numPr>
          <w:ilvl w:val="0"/>
          <w:numId w:val="8"/>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The transaction is a loan issued to a</w:t>
      </w:r>
      <w:r w:rsidR="00427B0D" w:rsidRPr="00321931">
        <w:rPr>
          <w:rFonts w:ascii="Palatino Linotype" w:eastAsiaTheme="minorEastAsia" w:hAnsi="Palatino Linotype" w:cstheme="majorBidi"/>
          <w:lang w:val="en-US"/>
        </w:rPr>
        <w:t xml:space="preserve">n associated </w:t>
      </w:r>
      <w:r w:rsidRPr="00321931">
        <w:rPr>
          <w:rFonts w:ascii="Palatino Linotype" w:eastAsiaTheme="minorEastAsia" w:hAnsi="Palatino Linotype" w:cstheme="majorBidi"/>
          <w:lang w:val="en-US"/>
        </w:rPr>
        <w:t xml:space="preserve">party or </w:t>
      </w:r>
      <w:r w:rsidR="006B2BB6" w:rsidRPr="00321931">
        <w:rPr>
          <w:rFonts w:ascii="Palatino Linotype" w:eastAsiaTheme="minorEastAsia" w:hAnsi="Palatino Linotype" w:cstheme="majorBidi"/>
          <w:lang w:val="en-US"/>
        </w:rPr>
        <w:t xml:space="preserve">obtained from </w:t>
      </w:r>
      <w:r w:rsidRPr="00321931">
        <w:rPr>
          <w:rFonts w:ascii="Palatino Linotype" w:eastAsiaTheme="minorEastAsia" w:hAnsi="Palatino Linotype" w:cstheme="majorBidi"/>
          <w:lang w:val="en-US"/>
        </w:rPr>
        <w:t>a</w:t>
      </w:r>
      <w:r w:rsidR="00427B0D" w:rsidRPr="00321931">
        <w:rPr>
          <w:rFonts w:ascii="Palatino Linotype" w:eastAsiaTheme="minorEastAsia" w:hAnsi="Palatino Linotype" w:cstheme="majorBidi"/>
          <w:lang w:val="en-US"/>
        </w:rPr>
        <w:t xml:space="preserve">n associated </w:t>
      </w:r>
      <w:r w:rsidRPr="00321931">
        <w:rPr>
          <w:rFonts w:ascii="Palatino Linotype" w:eastAsiaTheme="minorEastAsia" w:hAnsi="Palatino Linotype" w:cstheme="majorBidi"/>
          <w:lang w:val="en-US"/>
        </w:rPr>
        <w:t xml:space="preserve">party, which satisfies all of the following </w:t>
      </w:r>
      <w:proofErr w:type="gramStart"/>
      <w:r w:rsidRPr="00321931">
        <w:rPr>
          <w:rFonts w:ascii="Palatino Linotype" w:eastAsiaTheme="minorEastAsia" w:hAnsi="Palatino Linotype" w:cstheme="majorBidi"/>
          <w:lang w:val="en-US"/>
        </w:rPr>
        <w:t>conditions;</w:t>
      </w:r>
      <w:proofErr w:type="gramEnd"/>
      <w:r w:rsidRPr="00321931">
        <w:rPr>
          <w:rFonts w:ascii="Palatino Linotype" w:eastAsiaTheme="minorEastAsia" w:hAnsi="Palatino Linotype" w:cstheme="majorBidi"/>
          <w:lang w:val="en-US"/>
        </w:rPr>
        <w:t xml:space="preserve"> </w:t>
      </w:r>
    </w:p>
    <w:p w14:paraId="2A027250" w14:textId="77777777" w:rsidR="00BB191A" w:rsidRPr="00321931" w:rsidRDefault="008616CB" w:rsidP="00040A6D">
      <w:pPr>
        <w:pStyle w:val="ListParagraph"/>
        <w:numPr>
          <w:ilvl w:val="0"/>
          <w:numId w:val="11"/>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each party to the transaction is either incorporated or registered in Maldives or carries on a business in </w:t>
      </w:r>
      <w:proofErr w:type="gramStart"/>
      <w:r w:rsidRPr="00321931">
        <w:rPr>
          <w:rFonts w:ascii="Palatino Linotype" w:eastAsiaTheme="minorEastAsia" w:hAnsi="Palatino Linotype" w:cstheme="majorBidi"/>
          <w:lang w:val="en-US"/>
        </w:rPr>
        <w:t>Maldives;</w:t>
      </w:r>
      <w:proofErr w:type="gramEnd"/>
    </w:p>
    <w:p w14:paraId="3AE833F1" w14:textId="77777777" w:rsidR="008616CB" w:rsidRPr="00321931" w:rsidRDefault="00826737" w:rsidP="00040A6D">
      <w:pPr>
        <w:pStyle w:val="ListParagraph"/>
        <w:numPr>
          <w:ilvl w:val="0"/>
          <w:numId w:val="11"/>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the party issuing the loan is not in the business of borrowing and lending money</w:t>
      </w:r>
      <w:r w:rsidR="00316512" w:rsidRPr="00321931">
        <w:rPr>
          <w:rFonts w:ascii="Palatino Linotype" w:eastAsiaTheme="minorEastAsia" w:hAnsi="Palatino Linotype" w:cstheme="majorBidi"/>
          <w:lang w:val="en-US"/>
        </w:rPr>
        <w:t xml:space="preserve"> in the </w:t>
      </w:r>
      <w:proofErr w:type="gramStart"/>
      <w:r w:rsidR="00316512" w:rsidRPr="00321931">
        <w:rPr>
          <w:rFonts w:ascii="Palatino Linotype" w:eastAsiaTheme="minorEastAsia" w:hAnsi="Palatino Linotype" w:cstheme="majorBidi"/>
          <w:lang w:val="en-US"/>
        </w:rPr>
        <w:t>Maldives</w:t>
      </w:r>
      <w:r w:rsidRPr="00321931">
        <w:rPr>
          <w:rFonts w:ascii="Palatino Linotype" w:eastAsiaTheme="minorEastAsia" w:hAnsi="Palatino Linotype" w:cstheme="majorBidi"/>
          <w:lang w:val="en-US"/>
        </w:rPr>
        <w:t>;</w:t>
      </w:r>
      <w:proofErr w:type="gramEnd"/>
    </w:p>
    <w:p w14:paraId="791D65F6" w14:textId="77777777" w:rsidR="00AF7B7A" w:rsidRPr="00321931" w:rsidRDefault="00736F84" w:rsidP="00040A6D">
      <w:pPr>
        <w:pStyle w:val="ListParagraph"/>
        <w:numPr>
          <w:ilvl w:val="0"/>
          <w:numId w:val="8"/>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w:t>
      </w:r>
      <w:r w:rsidR="001E1A6D" w:rsidRPr="00321931">
        <w:rPr>
          <w:rFonts w:ascii="Palatino Linotype" w:eastAsiaTheme="minorEastAsia" w:hAnsi="Palatino Linotype" w:cstheme="majorBidi"/>
          <w:lang w:val="en-US"/>
        </w:rPr>
        <w:t>he transaction is a loan</w:t>
      </w:r>
      <w:r w:rsidR="00DE0A20" w:rsidRPr="00321931">
        <w:rPr>
          <w:rFonts w:ascii="Palatino Linotype" w:eastAsiaTheme="minorEastAsia" w:hAnsi="Palatino Linotype" w:cstheme="majorBidi"/>
          <w:lang w:val="en-US"/>
        </w:rPr>
        <w:t xml:space="preserve"> which does not exceed MVR 15 million and the parties to the loan agree</w:t>
      </w:r>
      <w:r w:rsidR="0045120F" w:rsidRPr="00321931">
        <w:rPr>
          <w:rFonts w:ascii="Palatino Linotype" w:eastAsiaTheme="minorEastAsia" w:hAnsi="Palatino Linotype" w:cstheme="majorBidi"/>
          <w:lang w:val="en-US"/>
        </w:rPr>
        <w:t xml:space="preserve"> </w:t>
      </w:r>
      <w:r w:rsidR="00DE0A20" w:rsidRPr="00321931">
        <w:rPr>
          <w:rFonts w:ascii="Palatino Linotype" w:eastAsiaTheme="minorEastAsia" w:hAnsi="Palatino Linotype" w:cstheme="majorBidi"/>
          <w:lang w:val="en-US"/>
        </w:rPr>
        <w:t xml:space="preserve">to apply the “indicative margin” for the year in which the loan </w:t>
      </w:r>
      <w:r w:rsidR="0045120F" w:rsidRPr="00321931">
        <w:rPr>
          <w:rFonts w:ascii="Palatino Linotype" w:eastAsiaTheme="minorEastAsia" w:hAnsi="Palatino Linotype" w:cstheme="majorBidi"/>
          <w:lang w:val="en-US"/>
        </w:rPr>
        <w:t xml:space="preserve">is </w:t>
      </w:r>
      <w:r w:rsidR="00DE0A20" w:rsidRPr="00321931">
        <w:rPr>
          <w:rFonts w:ascii="Palatino Linotype" w:eastAsiaTheme="minorEastAsia" w:hAnsi="Palatino Linotype" w:cstheme="majorBidi"/>
          <w:lang w:val="en-US"/>
        </w:rPr>
        <w:t xml:space="preserve">obtained or </w:t>
      </w:r>
      <w:proofErr w:type="gramStart"/>
      <w:r w:rsidR="00DE0A20" w:rsidRPr="00321931">
        <w:rPr>
          <w:rFonts w:ascii="Palatino Linotype" w:eastAsiaTheme="minorEastAsia" w:hAnsi="Palatino Linotype" w:cstheme="majorBidi"/>
          <w:lang w:val="en-US"/>
        </w:rPr>
        <w:t>provided;</w:t>
      </w:r>
      <w:proofErr w:type="gramEnd"/>
    </w:p>
    <w:p w14:paraId="77DD7E28" w14:textId="04E5169E" w:rsidR="00DE0A20" w:rsidRPr="00321931" w:rsidRDefault="00736F84" w:rsidP="00040A6D">
      <w:pPr>
        <w:pStyle w:val="ListParagraph"/>
        <w:numPr>
          <w:ilvl w:val="0"/>
          <w:numId w:val="8"/>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w:t>
      </w:r>
      <w:r w:rsidR="004B494E" w:rsidRPr="00321931">
        <w:rPr>
          <w:rFonts w:ascii="Palatino Linotype" w:eastAsiaTheme="minorEastAsia" w:hAnsi="Palatino Linotype" w:cstheme="majorBidi"/>
          <w:lang w:val="en-US"/>
        </w:rPr>
        <w:t xml:space="preserve">transaction is the provision of </w:t>
      </w:r>
      <w:r w:rsidR="004B494E" w:rsidRPr="003C1D36">
        <w:rPr>
          <w:rFonts w:ascii="Palatino Linotype" w:eastAsiaTheme="minorEastAsia" w:hAnsi="Palatino Linotype" w:cstheme="majorBidi"/>
          <w:highlight w:val="cyan"/>
          <w:lang w:val="en-US"/>
        </w:rPr>
        <w:t xml:space="preserve">a </w:t>
      </w:r>
      <w:r w:rsidR="00FB13E5" w:rsidRPr="003C1D36">
        <w:rPr>
          <w:rFonts w:ascii="Palatino Linotype" w:eastAsiaTheme="minorEastAsia" w:hAnsi="Palatino Linotype" w:cstheme="majorBidi"/>
          <w:highlight w:val="cyan"/>
          <w:lang w:val="en-US"/>
        </w:rPr>
        <w:t>low value adding intra-group</w:t>
      </w:r>
      <w:r w:rsidR="004B494E" w:rsidRPr="003C1D36">
        <w:rPr>
          <w:rFonts w:ascii="Palatino Linotype" w:eastAsiaTheme="minorEastAsia" w:hAnsi="Palatino Linotype" w:cstheme="majorBidi"/>
          <w:highlight w:val="cyan"/>
          <w:lang w:val="en-US"/>
        </w:rPr>
        <w:t xml:space="preserve"> service,</w:t>
      </w:r>
      <w:r w:rsidR="004B494E" w:rsidRPr="00321931">
        <w:rPr>
          <w:rFonts w:ascii="Palatino Linotype" w:eastAsiaTheme="minorEastAsia" w:hAnsi="Palatino Linotype" w:cstheme="majorBidi"/>
          <w:lang w:val="en-US"/>
        </w:rPr>
        <w:t xml:space="preserve"> which satisfies </w:t>
      </w:r>
      <w:proofErr w:type="gramStart"/>
      <w:r w:rsidR="004B494E" w:rsidRPr="00321931">
        <w:rPr>
          <w:rFonts w:ascii="Palatino Linotype" w:eastAsiaTheme="minorEastAsia" w:hAnsi="Palatino Linotype" w:cstheme="majorBidi"/>
          <w:lang w:val="en-US"/>
        </w:rPr>
        <w:t>all of</w:t>
      </w:r>
      <w:proofErr w:type="gramEnd"/>
      <w:r w:rsidR="004B494E" w:rsidRPr="00321931">
        <w:rPr>
          <w:rFonts w:ascii="Palatino Linotype" w:eastAsiaTheme="minorEastAsia" w:hAnsi="Palatino Linotype" w:cstheme="majorBidi"/>
          <w:lang w:val="en-US"/>
        </w:rPr>
        <w:t xml:space="preserve"> the following conditions:</w:t>
      </w:r>
    </w:p>
    <w:p w14:paraId="073DC509" w14:textId="77777777" w:rsidR="000315C5" w:rsidRPr="00321931" w:rsidRDefault="000315C5" w:rsidP="00040A6D">
      <w:pPr>
        <w:pStyle w:val="ListParagraph"/>
        <w:numPr>
          <w:ilvl w:val="0"/>
          <w:numId w:val="12"/>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lastRenderedPageBreak/>
        <w:t xml:space="preserve">a mark-up of 5% is applied to the cost of provision of the </w:t>
      </w:r>
      <w:proofErr w:type="gramStart"/>
      <w:r w:rsidRPr="00321931">
        <w:rPr>
          <w:rFonts w:ascii="Palatino Linotype" w:eastAsiaTheme="minorEastAsia" w:hAnsi="Palatino Linotype" w:cstheme="majorBidi"/>
          <w:lang w:val="en-US"/>
        </w:rPr>
        <w:t>service;</w:t>
      </w:r>
      <w:proofErr w:type="gramEnd"/>
    </w:p>
    <w:p w14:paraId="67BCB186" w14:textId="3F8B1704" w:rsidR="000315C5" w:rsidRPr="00321931" w:rsidRDefault="000315C5" w:rsidP="00040A6D">
      <w:pPr>
        <w:pStyle w:val="ListParagraph"/>
        <w:numPr>
          <w:ilvl w:val="0"/>
          <w:numId w:val="12"/>
        </w:numPr>
        <w:spacing w:after="120"/>
        <w:ind w:left="1890" w:hanging="54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service is only provided to entities </w:t>
      </w:r>
      <w:r w:rsidR="00FF7A70" w:rsidRPr="00321931">
        <w:rPr>
          <w:rFonts w:ascii="Palatino Linotype" w:eastAsiaTheme="minorEastAsia" w:hAnsi="Palatino Linotype" w:cstheme="majorBidi"/>
          <w:lang w:val="en-US"/>
        </w:rPr>
        <w:t xml:space="preserve">in </w:t>
      </w:r>
      <w:r w:rsidRPr="00321931">
        <w:rPr>
          <w:rFonts w:ascii="Palatino Linotype" w:eastAsiaTheme="minorEastAsia" w:hAnsi="Palatino Linotype" w:cstheme="majorBidi"/>
          <w:lang w:val="en-US"/>
        </w:rPr>
        <w:t xml:space="preserve">the group </w:t>
      </w:r>
      <w:r w:rsidR="00FF7A70" w:rsidRPr="00321931">
        <w:rPr>
          <w:rFonts w:ascii="Palatino Linotype" w:eastAsiaTheme="minorEastAsia" w:hAnsi="Palatino Linotype" w:cstheme="majorBidi"/>
          <w:lang w:val="en-US"/>
        </w:rPr>
        <w:t>to which</w:t>
      </w:r>
      <w:r w:rsidR="00DA25B4" w:rsidRPr="00321931">
        <w:rPr>
          <w:rFonts w:ascii="Palatino Linotype" w:eastAsiaTheme="minorEastAsia" w:hAnsi="Palatino Linotype" w:cstheme="majorBidi"/>
          <w:lang w:val="en-US"/>
        </w:rPr>
        <w:t xml:space="preserve"> </w:t>
      </w:r>
      <w:r w:rsidR="00FE3498" w:rsidRPr="00673FC0">
        <w:rPr>
          <w:rFonts w:ascii="Palatino Linotype" w:eastAsiaTheme="minorEastAsia" w:hAnsi="Palatino Linotype" w:cstheme="majorBidi"/>
          <w:highlight w:val="cyan"/>
          <w:lang w:val="en-US"/>
        </w:rPr>
        <w:t xml:space="preserve">the </w:t>
      </w:r>
      <w:r w:rsidR="00695F9E" w:rsidRPr="00673FC0">
        <w:rPr>
          <w:rFonts w:ascii="Palatino Linotype" w:eastAsiaTheme="minorEastAsia" w:hAnsi="Palatino Linotype" w:cstheme="majorBidi"/>
          <w:highlight w:val="cyan"/>
          <w:lang w:val="en-US"/>
        </w:rPr>
        <w:t>taxpayer</w:t>
      </w:r>
      <w:r w:rsidR="00FF7A70" w:rsidRPr="00321931">
        <w:rPr>
          <w:rFonts w:ascii="Palatino Linotype" w:eastAsiaTheme="minorEastAsia" w:hAnsi="Palatino Linotype" w:cstheme="majorBidi"/>
          <w:lang w:val="en-US"/>
        </w:rPr>
        <w:t xml:space="preserve"> </w:t>
      </w:r>
      <w:proofErr w:type="gramStart"/>
      <w:r w:rsidR="00FF7A70" w:rsidRPr="00321931">
        <w:rPr>
          <w:rFonts w:ascii="Palatino Linotype" w:eastAsiaTheme="minorEastAsia" w:hAnsi="Palatino Linotype" w:cstheme="majorBidi"/>
          <w:lang w:val="en-US"/>
        </w:rPr>
        <w:t>belongs</w:t>
      </w:r>
      <w:r w:rsidRPr="00321931">
        <w:rPr>
          <w:rFonts w:ascii="Palatino Linotype" w:eastAsiaTheme="minorEastAsia" w:hAnsi="Palatino Linotype" w:cstheme="majorBidi"/>
          <w:lang w:val="en-US"/>
        </w:rPr>
        <w:t>;</w:t>
      </w:r>
      <w:proofErr w:type="gramEnd"/>
    </w:p>
    <w:p w14:paraId="4CF357EB" w14:textId="77D72228" w:rsidR="00537423" w:rsidRPr="00321931" w:rsidRDefault="00537423" w:rsidP="00040A6D">
      <w:pPr>
        <w:pStyle w:val="ListParagraph"/>
        <w:numPr>
          <w:ilvl w:val="0"/>
          <w:numId w:val="8"/>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The value of all the transactions undertaken with </w:t>
      </w:r>
      <w:r w:rsidR="00FE3498" w:rsidRPr="00321931">
        <w:rPr>
          <w:rFonts w:ascii="Palatino Linotype" w:eastAsiaTheme="minorEastAsia" w:hAnsi="Palatino Linotype" w:cstheme="majorBidi"/>
          <w:lang w:val="en-US"/>
        </w:rPr>
        <w:t>associated</w:t>
      </w:r>
      <w:r w:rsidRPr="00321931">
        <w:rPr>
          <w:rFonts w:ascii="Palatino Linotype" w:eastAsiaTheme="minorEastAsia" w:hAnsi="Palatino Linotype" w:cstheme="majorBidi"/>
          <w:lang w:val="en-US"/>
        </w:rPr>
        <w:t xml:space="preserve"> parties during the tax year, except </w:t>
      </w:r>
      <w:r w:rsidR="00FE2B26" w:rsidRPr="00321931">
        <w:rPr>
          <w:rFonts w:ascii="Palatino Linotype" w:eastAsiaTheme="minorEastAsia" w:hAnsi="Palatino Linotype" w:cstheme="majorBidi"/>
          <w:lang w:val="en-US"/>
        </w:rPr>
        <w:t xml:space="preserve">for </w:t>
      </w:r>
      <w:r w:rsidRPr="00321931">
        <w:rPr>
          <w:rFonts w:ascii="Palatino Linotype" w:eastAsiaTheme="minorEastAsia" w:hAnsi="Palatino Linotype" w:cstheme="majorBidi"/>
          <w:lang w:val="en-US"/>
        </w:rPr>
        <w:t xml:space="preserve">those transactions specified in subsection </w:t>
      </w:r>
      <w:r w:rsidRPr="00321931">
        <w:rPr>
          <w:rFonts w:ascii="Palatino Linotype" w:eastAsiaTheme="minorEastAsia" w:hAnsi="Palatino Linotype" w:cstheme="majorBidi"/>
          <w:highlight w:val="yellow"/>
          <w:lang w:val="en-US"/>
        </w:rPr>
        <w:t>(</w:t>
      </w:r>
      <w:r w:rsidR="00B45FA1" w:rsidRPr="00321931">
        <w:rPr>
          <w:rFonts w:ascii="Palatino Linotype" w:eastAsiaTheme="minorEastAsia" w:hAnsi="Palatino Linotype" w:cstheme="majorBidi"/>
          <w:highlight w:val="yellow"/>
          <w:lang w:val="en-US"/>
        </w:rPr>
        <w:t>a</w:t>
      </w:r>
      <w:r w:rsidRPr="00321931">
        <w:rPr>
          <w:rFonts w:ascii="Palatino Linotype" w:eastAsiaTheme="minorEastAsia" w:hAnsi="Palatino Linotype" w:cstheme="majorBidi"/>
          <w:highlight w:val="yellow"/>
          <w:lang w:val="en-US"/>
        </w:rPr>
        <w:t>),</w:t>
      </w:r>
      <w:r w:rsidRPr="00321931">
        <w:rPr>
          <w:rFonts w:ascii="Palatino Linotype" w:eastAsiaTheme="minorEastAsia" w:hAnsi="Palatino Linotype" w:cstheme="majorBidi"/>
          <w:lang w:val="en-US"/>
        </w:rPr>
        <w:t xml:space="preserve"> (</w:t>
      </w:r>
      <w:r w:rsidR="00B45FA1" w:rsidRPr="00321931">
        <w:rPr>
          <w:rFonts w:ascii="Palatino Linotype" w:eastAsiaTheme="minorEastAsia" w:hAnsi="Palatino Linotype" w:cstheme="majorBidi"/>
          <w:lang w:val="en-US"/>
        </w:rPr>
        <w:t>b</w:t>
      </w:r>
      <w:r w:rsidRPr="00321931">
        <w:rPr>
          <w:rFonts w:ascii="Palatino Linotype" w:eastAsiaTheme="minorEastAsia" w:hAnsi="Palatino Linotype" w:cstheme="majorBidi"/>
          <w:lang w:val="en-US"/>
        </w:rPr>
        <w:t>), (</w:t>
      </w:r>
      <w:r w:rsidR="00B45FA1" w:rsidRPr="00321931">
        <w:rPr>
          <w:rFonts w:ascii="Palatino Linotype" w:eastAsiaTheme="minorEastAsia" w:hAnsi="Palatino Linotype" w:cstheme="majorBidi"/>
          <w:lang w:val="en-US"/>
        </w:rPr>
        <w:t>c</w:t>
      </w:r>
      <w:r w:rsidRPr="00321931">
        <w:rPr>
          <w:rFonts w:ascii="Palatino Linotype" w:eastAsiaTheme="minorEastAsia" w:hAnsi="Palatino Linotype" w:cstheme="majorBidi"/>
          <w:lang w:val="en-US"/>
        </w:rPr>
        <w:t>), (</w:t>
      </w:r>
      <w:r w:rsidR="00B45FA1" w:rsidRPr="00321931">
        <w:rPr>
          <w:rFonts w:ascii="Palatino Linotype" w:eastAsiaTheme="minorEastAsia" w:hAnsi="Palatino Linotype" w:cstheme="majorBidi"/>
          <w:lang w:val="en-US"/>
        </w:rPr>
        <w:t>d</w:t>
      </w:r>
      <w:r w:rsidRPr="00321931">
        <w:rPr>
          <w:rFonts w:ascii="Palatino Linotype" w:eastAsiaTheme="minorEastAsia" w:hAnsi="Palatino Linotype" w:cstheme="majorBidi"/>
          <w:lang w:val="en-US"/>
        </w:rPr>
        <w:t>) and (</w:t>
      </w:r>
      <w:r w:rsidR="00B45FA1" w:rsidRPr="00321931">
        <w:rPr>
          <w:rFonts w:ascii="Palatino Linotype" w:eastAsiaTheme="minorEastAsia" w:hAnsi="Palatino Linotype" w:cstheme="majorBidi"/>
          <w:lang w:val="en-US"/>
        </w:rPr>
        <w:t>e</w:t>
      </w:r>
      <w:r w:rsidRPr="00321931">
        <w:rPr>
          <w:rFonts w:ascii="Palatino Linotype" w:eastAsiaTheme="minorEastAsia" w:hAnsi="Palatino Linotype" w:cstheme="majorBidi"/>
          <w:lang w:val="en-US"/>
        </w:rPr>
        <w:t xml:space="preserve">), does not exceed MVR 5 </w:t>
      </w:r>
      <w:proofErr w:type="gramStart"/>
      <w:r w:rsidR="00E31647" w:rsidRPr="00321931">
        <w:rPr>
          <w:rFonts w:ascii="Palatino Linotype" w:eastAsiaTheme="minorEastAsia" w:hAnsi="Palatino Linotype" w:cstheme="majorBidi"/>
          <w:lang w:val="en-US"/>
        </w:rPr>
        <w:t>Million</w:t>
      </w:r>
      <w:proofErr w:type="gramEnd"/>
      <w:r w:rsidR="00E31647" w:rsidRPr="00321931">
        <w:rPr>
          <w:rFonts w:ascii="Palatino Linotype" w:eastAsiaTheme="minorEastAsia" w:hAnsi="Palatino Linotype" w:cstheme="majorBidi"/>
          <w:lang w:val="en-US"/>
        </w:rPr>
        <w:t>.</w:t>
      </w:r>
    </w:p>
    <w:p w14:paraId="194D53F6" w14:textId="77777777" w:rsidR="00E31647" w:rsidRDefault="00E31647" w:rsidP="00105FDD">
      <w:pPr>
        <w:pStyle w:val="ListParagraph"/>
        <w:spacing w:after="120"/>
        <w:ind w:left="1350"/>
        <w:contextualSpacing w:val="0"/>
        <w:jc w:val="both"/>
        <w:rPr>
          <w:rFonts w:ascii="Palatino Linotype" w:eastAsiaTheme="minorEastAsia" w:hAnsi="Palatino Linotype" w:cstheme="majorBidi"/>
          <w:lang w:val="en-US"/>
        </w:rPr>
      </w:pPr>
    </w:p>
    <w:p w14:paraId="6F7AA665" w14:textId="77777777" w:rsidR="00D648D0" w:rsidRPr="00321931" w:rsidRDefault="00D648D0" w:rsidP="00105FDD">
      <w:pPr>
        <w:pStyle w:val="ListParagraph"/>
        <w:spacing w:after="120"/>
        <w:ind w:left="1350"/>
        <w:contextualSpacing w:val="0"/>
        <w:jc w:val="both"/>
        <w:rPr>
          <w:rFonts w:ascii="Palatino Linotype" w:eastAsiaTheme="minorEastAsia" w:hAnsi="Palatino Linotype" w:cstheme="majorBidi"/>
          <w:lang w:val="en-US"/>
        </w:rPr>
      </w:pPr>
    </w:p>
    <w:p w14:paraId="79419BCF" w14:textId="468D0C5A" w:rsidR="00E31647" w:rsidRDefault="00964C3C" w:rsidP="00964C3C">
      <w:pPr>
        <w:pStyle w:val="Heading1"/>
        <w:rPr>
          <w:sz w:val="24"/>
          <w:szCs w:val="24"/>
        </w:rPr>
      </w:pPr>
      <w:bookmarkStart w:id="50" w:name="_Toc136789335"/>
      <w:r w:rsidRPr="00321931">
        <w:rPr>
          <w:sz w:val="24"/>
          <w:szCs w:val="24"/>
        </w:rPr>
        <w:t>C</w:t>
      </w:r>
      <w:r w:rsidR="00E31647" w:rsidRPr="00321931">
        <w:rPr>
          <w:sz w:val="24"/>
          <w:szCs w:val="24"/>
        </w:rPr>
        <w:t>HAPTER 4</w:t>
      </w:r>
      <w:r w:rsidR="00D648D0">
        <w:rPr>
          <w:sz w:val="24"/>
          <w:szCs w:val="24"/>
        </w:rPr>
        <w:t xml:space="preserve">: </w:t>
      </w:r>
      <w:r w:rsidR="00E31647" w:rsidRPr="00321931">
        <w:rPr>
          <w:sz w:val="24"/>
          <w:szCs w:val="24"/>
        </w:rPr>
        <w:t>GENERAL PROVISIONS</w:t>
      </w:r>
      <w:bookmarkEnd w:id="50"/>
    </w:p>
    <w:p w14:paraId="550CF4F0" w14:textId="77777777" w:rsidR="00D648D0" w:rsidRPr="00D648D0" w:rsidRDefault="00D648D0" w:rsidP="00D648D0">
      <w:pPr>
        <w:rPr>
          <w:lang w:val="en-GB"/>
        </w:rPr>
      </w:pPr>
    </w:p>
    <w:p w14:paraId="0A070A0D" w14:textId="77777777" w:rsidR="006030FF" w:rsidRPr="00321931" w:rsidRDefault="006030FF" w:rsidP="00105FDD">
      <w:pPr>
        <w:pStyle w:val="Heading2"/>
        <w:numPr>
          <w:ilvl w:val="0"/>
          <w:numId w:val="1"/>
        </w:numPr>
        <w:tabs>
          <w:tab w:val="left" w:pos="630"/>
        </w:tabs>
        <w:spacing w:before="0" w:after="120"/>
        <w:ind w:left="720" w:hanging="720"/>
        <w:rPr>
          <w:rFonts w:ascii="Palatino Linotype" w:hAnsi="Palatino Linotype"/>
          <w:color w:val="auto"/>
          <w:sz w:val="22"/>
          <w:szCs w:val="22"/>
          <w:lang w:val="en-GB"/>
        </w:rPr>
      </w:pPr>
      <w:bookmarkStart w:id="51" w:name="_Toc128919340"/>
      <w:bookmarkStart w:id="52" w:name="_Toc128924072"/>
      <w:bookmarkStart w:id="53" w:name="_Toc129206060"/>
      <w:bookmarkStart w:id="54" w:name="_Toc130567764"/>
      <w:bookmarkStart w:id="55" w:name="_Toc136789336"/>
      <w:bookmarkEnd w:id="51"/>
      <w:bookmarkEnd w:id="52"/>
      <w:bookmarkEnd w:id="53"/>
      <w:bookmarkEnd w:id="54"/>
      <w:r w:rsidRPr="00321931">
        <w:rPr>
          <w:rFonts w:ascii="Palatino Linotype" w:hAnsi="Palatino Linotype"/>
          <w:color w:val="auto"/>
          <w:sz w:val="22"/>
          <w:szCs w:val="22"/>
          <w:lang w:val="en-GB"/>
        </w:rPr>
        <w:t>Definitions</w:t>
      </w:r>
      <w:bookmarkEnd w:id="55"/>
    </w:p>
    <w:p w14:paraId="4B194221" w14:textId="77777777" w:rsidR="003C7489" w:rsidRPr="00321931" w:rsidRDefault="003C7489" w:rsidP="00D648D0">
      <w:pPr>
        <w:pStyle w:val="ListParagraph"/>
        <w:spacing w:after="120"/>
        <w:ind w:left="63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Unless otherwise specified in this Regulation:</w:t>
      </w:r>
    </w:p>
    <w:p w14:paraId="66686D16" w14:textId="77777777" w:rsidR="006D6B87" w:rsidRPr="00321931" w:rsidRDefault="006D6B87" w:rsidP="00040A6D">
      <w:pPr>
        <w:pStyle w:val="ListParagraph"/>
        <w:numPr>
          <w:ilvl w:val="0"/>
          <w:numId w:val="31"/>
        </w:numPr>
        <w:spacing w:after="120"/>
        <w:ind w:left="1350" w:hanging="720"/>
        <w:contextualSpacing w:val="0"/>
        <w:jc w:val="both"/>
        <w:rPr>
          <w:rFonts w:ascii="Palatino Linotype" w:eastAsiaTheme="minorEastAsia" w:hAnsi="Palatino Linotype" w:cstheme="majorBidi"/>
          <w:lang w:val="en-US"/>
        </w:rPr>
      </w:pPr>
      <w:r w:rsidRPr="00D648D0">
        <w:rPr>
          <w:rFonts w:ascii="Palatino Linotype" w:eastAsiaTheme="minorEastAsia" w:hAnsi="Palatino Linotype" w:cstheme="majorBidi"/>
          <w:highlight w:val="cyan"/>
          <w:lang w:val="en-US"/>
        </w:rPr>
        <w:t>“Controlled Transaction” means an arrangement or transaction (including series of arrangement or transactions) entered between associated parties</w:t>
      </w:r>
      <w:r w:rsidRPr="00321931">
        <w:rPr>
          <w:rFonts w:ascii="Palatino Linotype" w:eastAsiaTheme="minorEastAsia" w:hAnsi="Palatino Linotype" w:cstheme="majorBidi"/>
          <w:lang w:val="en-US"/>
        </w:rPr>
        <w:t>.</w:t>
      </w:r>
    </w:p>
    <w:p w14:paraId="1B9083C6" w14:textId="77777777" w:rsidR="006D6B87" w:rsidRPr="00E966A8" w:rsidRDefault="006D6B87" w:rsidP="00040A6D">
      <w:pPr>
        <w:pStyle w:val="ListParagraph"/>
        <w:numPr>
          <w:ilvl w:val="0"/>
          <w:numId w:val="31"/>
        </w:numPr>
        <w:spacing w:after="120"/>
        <w:ind w:left="1350" w:hanging="720"/>
        <w:contextualSpacing w:val="0"/>
        <w:jc w:val="both"/>
        <w:rPr>
          <w:rFonts w:ascii="Palatino Linotype" w:eastAsiaTheme="minorEastAsia" w:hAnsi="Palatino Linotype" w:cstheme="majorBidi"/>
          <w:highlight w:val="cyan"/>
          <w:lang w:val="en-US"/>
        </w:rPr>
      </w:pPr>
      <w:r w:rsidRPr="00E966A8">
        <w:rPr>
          <w:rFonts w:ascii="Palatino Linotype" w:eastAsiaTheme="minorEastAsia" w:hAnsi="Palatino Linotype" w:cstheme="majorBidi"/>
          <w:highlight w:val="cyan"/>
          <w:lang w:val="en-US"/>
        </w:rPr>
        <w:t xml:space="preserve">“Comparability analysis” means the process of identifying economically relevant characteristics in a controlled transaction and comparing such characteristics with those in independent party transactions.  </w:t>
      </w:r>
    </w:p>
    <w:p w14:paraId="3CB1737A" w14:textId="77777777" w:rsidR="006D6B87" w:rsidRPr="00321931" w:rsidRDefault="006D6B87" w:rsidP="00040A6D">
      <w:pPr>
        <w:pStyle w:val="ListParagraph"/>
        <w:numPr>
          <w:ilvl w:val="0"/>
          <w:numId w:val="31"/>
        </w:numPr>
        <w:spacing w:after="120"/>
        <w:ind w:left="1350" w:hanging="72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“Cost sharing arrangement” refers to a contractual arrangement among business enterprises to share the contributions and risks involved in the joint development, production or the obtaining of intangibles, tangible </w:t>
      </w:r>
      <w:proofErr w:type="gramStart"/>
      <w:r w:rsidRPr="00321931">
        <w:rPr>
          <w:rFonts w:ascii="Palatino Linotype" w:eastAsiaTheme="minorEastAsia" w:hAnsi="Palatino Linotype" w:cstheme="majorBidi"/>
          <w:lang w:val="en-US"/>
        </w:rPr>
        <w:t>assets</w:t>
      </w:r>
      <w:proofErr w:type="gramEnd"/>
      <w:r w:rsidRPr="00321931">
        <w:rPr>
          <w:rFonts w:ascii="Palatino Linotype" w:eastAsiaTheme="minorEastAsia" w:hAnsi="Palatino Linotype" w:cstheme="majorBidi"/>
          <w:lang w:val="en-US"/>
        </w:rPr>
        <w:t xml:space="preserve"> or services with the understanding that such intangibles, tangible assets or services are expected to create benefits for the individual businesses of each of the participants.</w:t>
      </w:r>
    </w:p>
    <w:p w14:paraId="12801C54" w14:textId="77777777" w:rsidR="006D6B87" w:rsidRPr="00321931" w:rsidRDefault="006D6B87" w:rsidP="00040A6D">
      <w:pPr>
        <w:pStyle w:val="ListParagraph"/>
        <w:numPr>
          <w:ilvl w:val="0"/>
          <w:numId w:val="31"/>
        </w:numPr>
        <w:spacing w:after="120"/>
        <w:ind w:left="1350" w:hanging="72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“Indicative margin” refers to the indicative margin published on MIRA’s website for to be used in determining the interest rate for associated party loans.</w:t>
      </w:r>
    </w:p>
    <w:p w14:paraId="6BC3C4E1" w14:textId="1DEEDDB7" w:rsidR="006D6B87" w:rsidRPr="00E966A8" w:rsidRDefault="006D6B87" w:rsidP="00040A6D">
      <w:pPr>
        <w:pStyle w:val="ListParagraph"/>
        <w:numPr>
          <w:ilvl w:val="0"/>
          <w:numId w:val="31"/>
        </w:numPr>
        <w:spacing w:after="120"/>
        <w:ind w:left="1350" w:hanging="630"/>
        <w:contextualSpacing w:val="0"/>
        <w:jc w:val="both"/>
        <w:rPr>
          <w:rFonts w:ascii="Palatino Linotype" w:eastAsiaTheme="minorEastAsia" w:hAnsi="Palatino Linotype" w:cstheme="majorBidi"/>
          <w:highlight w:val="cyan"/>
          <w:lang w:val="en-US"/>
        </w:rPr>
      </w:pPr>
      <w:r w:rsidRPr="00E966A8">
        <w:rPr>
          <w:rFonts w:ascii="Palatino Linotype" w:eastAsiaTheme="minorEastAsia" w:hAnsi="Palatino Linotype" w:cstheme="majorBidi"/>
          <w:highlight w:val="cyan"/>
          <w:lang w:val="en-US"/>
        </w:rPr>
        <w:t>“Internal Comparable” means transactions that have taken place between one party to the controlled transaction and an independent party in comparable conditions.</w:t>
      </w:r>
    </w:p>
    <w:p w14:paraId="74C05904" w14:textId="0DAD551A" w:rsidR="006D6B87" w:rsidRPr="00E966A8" w:rsidRDefault="006D6B87" w:rsidP="00040A6D">
      <w:pPr>
        <w:pStyle w:val="ListParagraph"/>
        <w:numPr>
          <w:ilvl w:val="0"/>
          <w:numId w:val="31"/>
        </w:numPr>
        <w:spacing w:after="120"/>
        <w:ind w:left="1350" w:hanging="630"/>
        <w:contextualSpacing w:val="0"/>
        <w:jc w:val="both"/>
        <w:rPr>
          <w:rFonts w:ascii="Palatino Linotype" w:eastAsiaTheme="minorEastAsia" w:hAnsi="Palatino Linotype" w:cstheme="majorBidi"/>
          <w:highlight w:val="cyan"/>
          <w:lang w:val="en-US"/>
        </w:rPr>
      </w:pPr>
      <w:r w:rsidRPr="00E966A8">
        <w:rPr>
          <w:rFonts w:ascii="Palatino Linotype" w:eastAsiaTheme="minorEastAsia" w:hAnsi="Palatino Linotype" w:cstheme="majorBidi"/>
          <w:highlight w:val="cyan"/>
          <w:lang w:val="en-US"/>
        </w:rPr>
        <w:t>“External Comparable” means comparable transactions that have taken place between two independent parties, neither of which is a party to the controlled transaction, in comparable conditions.</w:t>
      </w:r>
    </w:p>
    <w:p w14:paraId="0B32F142" w14:textId="76688309" w:rsidR="004F3E0B" w:rsidRPr="00E966A8" w:rsidRDefault="004F3E0B" w:rsidP="00040A6D">
      <w:pPr>
        <w:pStyle w:val="ListParagraph"/>
        <w:numPr>
          <w:ilvl w:val="0"/>
          <w:numId w:val="31"/>
        </w:numPr>
        <w:spacing w:after="120"/>
        <w:ind w:left="1350" w:hanging="630"/>
        <w:contextualSpacing w:val="0"/>
        <w:jc w:val="both"/>
        <w:rPr>
          <w:rFonts w:ascii="Palatino Linotype" w:eastAsiaTheme="minorEastAsia" w:hAnsi="Palatino Linotype" w:cstheme="majorBidi"/>
          <w:highlight w:val="cyan"/>
          <w:lang w:val="en-US"/>
        </w:rPr>
      </w:pPr>
      <w:r w:rsidRPr="00E966A8">
        <w:rPr>
          <w:rFonts w:ascii="Palatino Linotype" w:eastAsiaTheme="minorEastAsia" w:hAnsi="Palatino Linotype" w:cstheme="majorBidi"/>
          <w:highlight w:val="cyan"/>
          <w:lang w:val="en-US"/>
        </w:rPr>
        <w:t>“Act” refers to the Income Tax Act (Law number 25/2019)</w:t>
      </w:r>
      <w:r w:rsidR="00E966A8" w:rsidRPr="00E966A8">
        <w:rPr>
          <w:rFonts w:ascii="Palatino Linotype" w:eastAsiaTheme="minorEastAsia" w:hAnsi="Palatino Linotype" w:cstheme="majorBidi"/>
          <w:highlight w:val="cyan"/>
          <w:lang w:val="en-US"/>
        </w:rPr>
        <w:t>.</w:t>
      </w:r>
    </w:p>
    <w:p w14:paraId="59D614D8" w14:textId="06A71DDF" w:rsidR="006D6B87" w:rsidRPr="00E966A8" w:rsidRDefault="006D6B87" w:rsidP="00040A6D">
      <w:pPr>
        <w:pStyle w:val="ListParagraph"/>
        <w:numPr>
          <w:ilvl w:val="0"/>
          <w:numId w:val="31"/>
        </w:numPr>
        <w:spacing w:after="120"/>
        <w:ind w:left="1350" w:hanging="630"/>
        <w:contextualSpacing w:val="0"/>
        <w:jc w:val="both"/>
        <w:rPr>
          <w:rFonts w:ascii="Palatino Linotype" w:eastAsiaTheme="minorEastAsia" w:hAnsi="Palatino Linotype" w:cstheme="majorBidi"/>
          <w:highlight w:val="cyan"/>
          <w:lang w:val="en-US"/>
        </w:rPr>
      </w:pPr>
      <w:r w:rsidRPr="00E966A8">
        <w:rPr>
          <w:rFonts w:ascii="Palatino Linotype" w:eastAsiaTheme="minorEastAsia" w:hAnsi="Palatino Linotype" w:cstheme="majorBidi"/>
          <w:highlight w:val="cyan"/>
          <w:lang w:val="en-US"/>
        </w:rPr>
        <w:t>“Arm’s length price” refers to the price determined in accord</w:t>
      </w:r>
      <w:r w:rsidR="00E966A8">
        <w:rPr>
          <w:rFonts w:ascii="Palatino Linotype" w:eastAsiaTheme="minorEastAsia" w:hAnsi="Palatino Linotype" w:cstheme="majorBidi"/>
          <w:highlight w:val="cyan"/>
          <w:lang w:val="en-US"/>
        </w:rPr>
        <w:t>ance</w:t>
      </w:r>
      <w:r w:rsidRPr="00E966A8">
        <w:rPr>
          <w:rFonts w:ascii="Palatino Linotype" w:eastAsiaTheme="minorEastAsia" w:hAnsi="Palatino Linotype" w:cstheme="majorBidi"/>
          <w:highlight w:val="cyan"/>
          <w:lang w:val="en-US"/>
        </w:rPr>
        <w:t xml:space="preserve"> with the arm’s length principle</w:t>
      </w:r>
      <w:r w:rsidR="00E966A8">
        <w:rPr>
          <w:rFonts w:ascii="Palatino Linotype" w:eastAsiaTheme="minorEastAsia" w:hAnsi="Palatino Linotype" w:cstheme="majorBidi"/>
          <w:highlight w:val="cyan"/>
          <w:lang w:val="en-US"/>
        </w:rPr>
        <w:t>s</w:t>
      </w:r>
      <w:r w:rsidRPr="00E966A8">
        <w:rPr>
          <w:rFonts w:ascii="Palatino Linotype" w:eastAsiaTheme="minorEastAsia" w:hAnsi="Palatino Linotype" w:cstheme="majorBidi"/>
          <w:highlight w:val="cyan"/>
          <w:lang w:val="en-US"/>
        </w:rPr>
        <w:t xml:space="preserve"> defined in Section 79(r) of the Act.</w:t>
      </w:r>
    </w:p>
    <w:p w14:paraId="21BAB3C8" w14:textId="77777777" w:rsidR="004F3E0B" w:rsidRPr="00321931" w:rsidRDefault="004F3E0B" w:rsidP="00040A6D">
      <w:pPr>
        <w:pStyle w:val="ListParagraph"/>
        <w:numPr>
          <w:ilvl w:val="0"/>
          <w:numId w:val="31"/>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lastRenderedPageBreak/>
        <w:t>“Advance pricing arrangement” refers to an arrangement that determines, in advance of controlled transactions, an appropriate set of criteria (</w:t>
      </w:r>
      <w:proofErr w:type="gramStart"/>
      <w:r w:rsidRPr="00321931">
        <w:rPr>
          <w:rFonts w:ascii="Palatino Linotype" w:eastAsiaTheme="minorEastAsia" w:hAnsi="Palatino Linotype" w:cstheme="majorBidi"/>
          <w:lang w:val="en-US"/>
        </w:rPr>
        <w:t>e.g.</w:t>
      </w:r>
      <w:proofErr w:type="gramEnd"/>
      <w:r w:rsidRPr="00321931">
        <w:rPr>
          <w:rFonts w:ascii="Palatino Linotype" w:eastAsiaTheme="minorEastAsia" w:hAnsi="Palatino Linotype" w:cstheme="majorBidi"/>
          <w:lang w:val="en-US"/>
        </w:rPr>
        <w:t xml:space="preserve"> method, comparables and appropriate adjustments thereto, critical assumptions as to future events) for the determination of the transfer pricing for those transactions over a fixed period of time.</w:t>
      </w:r>
    </w:p>
    <w:p w14:paraId="5809EAC8" w14:textId="7A267A78" w:rsidR="004F3E0B" w:rsidRPr="00956654" w:rsidRDefault="004F3E0B" w:rsidP="00040A6D">
      <w:pPr>
        <w:pStyle w:val="ListParagraph"/>
        <w:numPr>
          <w:ilvl w:val="0"/>
          <w:numId w:val="31"/>
        </w:numPr>
        <w:spacing w:after="120"/>
        <w:ind w:left="1350" w:hanging="630"/>
        <w:contextualSpacing w:val="0"/>
        <w:jc w:val="both"/>
        <w:rPr>
          <w:rFonts w:ascii="Palatino Linotype" w:eastAsiaTheme="minorEastAsia" w:hAnsi="Palatino Linotype" w:cstheme="majorBidi"/>
          <w:highlight w:val="cyan"/>
          <w:lang w:val="en-US"/>
        </w:rPr>
      </w:pPr>
      <w:r w:rsidRPr="00956654">
        <w:rPr>
          <w:rFonts w:ascii="Palatino Linotype" w:eastAsiaTheme="minorEastAsia" w:hAnsi="Palatino Linotype" w:cstheme="majorBidi"/>
          <w:highlight w:val="cyan"/>
          <w:lang w:val="en-US"/>
        </w:rPr>
        <w:t>“Financial Indicators” include mark-up on cost, gross margin, or net profit indicator used in transaction profit methods. The selection of the appropriate financial indicator depends on the facts and circumstances of the case.</w:t>
      </w:r>
    </w:p>
    <w:p w14:paraId="6A165071" w14:textId="5A816078" w:rsidR="00B53521" w:rsidRPr="00956654" w:rsidRDefault="00B53521" w:rsidP="00040A6D">
      <w:pPr>
        <w:pStyle w:val="ListParagraph"/>
        <w:numPr>
          <w:ilvl w:val="0"/>
          <w:numId w:val="31"/>
        </w:numPr>
        <w:spacing w:after="120"/>
        <w:ind w:left="1350" w:hanging="630"/>
        <w:contextualSpacing w:val="0"/>
        <w:jc w:val="both"/>
        <w:rPr>
          <w:rFonts w:ascii="Palatino Linotype" w:eastAsiaTheme="minorEastAsia" w:hAnsi="Palatino Linotype" w:cstheme="majorBidi"/>
          <w:highlight w:val="cyan"/>
          <w:lang w:val="en-US"/>
        </w:rPr>
      </w:pPr>
      <w:r w:rsidRPr="00956654">
        <w:rPr>
          <w:rFonts w:ascii="Palatino Linotype" w:eastAsiaTheme="minorEastAsia" w:hAnsi="Palatino Linotype" w:cstheme="majorBidi"/>
          <w:highlight w:val="cyan"/>
          <w:lang w:val="en-US"/>
        </w:rPr>
        <w:t>“Functional analysis” means the analysis aimed at identifying the economically significant activities and responsibilities undertaken, assets used or contributed, and risks assumed by the parties to the transaction.</w:t>
      </w:r>
    </w:p>
    <w:p w14:paraId="6B9E7D3F" w14:textId="5756F700" w:rsidR="006D6B87" w:rsidRPr="00956654" w:rsidRDefault="006D6B87" w:rsidP="00040A6D">
      <w:pPr>
        <w:pStyle w:val="ListParagraph"/>
        <w:numPr>
          <w:ilvl w:val="0"/>
          <w:numId w:val="31"/>
        </w:numPr>
        <w:spacing w:after="120"/>
        <w:ind w:left="1350" w:hanging="630"/>
        <w:contextualSpacing w:val="0"/>
        <w:jc w:val="both"/>
        <w:rPr>
          <w:rFonts w:ascii="Palatino Linotype" w:eastAsiaTheme="minorEastAsia" w:hAnsi="Palatino Linotype" w:cstheme="majorBidi"/>
          <w:highlight w:val="cyan"/>
          <w:lang w:val="en-US"/>
        </w:rPr>
      </w:pPr>
      <w:r w:rsidRPr="00956654">
        <w:rPr>
          <w:rFonts w:ascii="Palatino Linotype" w:eastAsiaTheme="minorEastAsia" w:hAnsi="Palatino Linotype" w:cstheme="majorBidi"/>
          <w:highlight w:val="cyan"/>
          <w:lang w:val="en-US"/>
        </w:rPr>
        <w:t xml:space="preserve">“Low value adding intra-group services” refers to services of “supportive nature” which satisfy the following conditions and are not part of the primary business of the </w:t>
      </w:r>
      <w:r w:rsidR="00695F9E" w:rsidRPr="00956654">
        <w:rPr>
          <w:rFonts w:ascii="Palatino Linotype" w:eastAsiaTheme="minorEastAsia" w:hAnsi="Palatino Linotype" w:cstheme="majorBidi"/>
          <w:highlight w:val="cyan"/>
          <w:lang w:val="en-US"/>
        </w:rPr>
        <w:t>taxpayer</w:t>
      </w:r>
      <w:r w:rsidRPr="00956654">
        <w:rPr>
          <w:rFonts w:ascii="Palatino Linotype" w:eastAsiaTheme="minorEastAsia" w:hAnsi="Palatino Linotype" w:cstheme="majorBidi"/>
          <w:highlight w:val="cyan"/>
          <w:lang w:val="en-US"/>
        </w:rPr>
        <w:t xml:space="preserve">, and are specified in the First Schedule of this </w:t>
      </w:r>
      <w:proofErr w:type="gramStart"/>
      <w:r w:rsidRPr="00956654">
        <w:rPr>
          <w:rFonts w:ascii="Palatino Linotype" w:eastAsiaTheme="minorEastAsia" w:hAnsi="Palatino Linotype" w:cstheme="majorBidi"/>
          <w:highlight w:val="cyan"/>
          <w:lang w:val="en-US"/>
        </w:rPr>
        <w:t>Regulation;</w:t>
      </w:r>
      <w:proofErr w:type="gramEnd"/>
    </w:p>
    <w:p w14:paraId="39676136" w14:textId="77777777" w:rsidR="006D6B87" w:rsidRPr="00956654" w:rsidRDefault="006D6B87" w:rsidP="00040A6D">
      <w:pPr>
        <w:pStyle w:val="ListParagraph"/>
        <w:numPr>
          <w:ilvl w:val="0"/>
          <w:numId w:val="15"/>
        </w:numPr>
        <w:spacing w:after="120"/>
        <w:ind w:left="1980" w:hanging="634"/>
        <w:contextualSpacing w:val="0"/>
        <w:jc w:val="both"/>
        <w:rPr>
          <w:rFonts w:ascii="Palatino Linotype" w:eastAsiaTheme="minorEastAsia" w:hAnsi="Palatino Linotype" w:cstheme="majorBidi"/>
          <w:highlight w:val="cyan"/>
          <w:lang w:val="en-US"/>
        </w:rPr>
      </w:pPr>
      <w:r w:rsidRPr="00956654">
        <w:rPr>
          <w:rFonts w:ascii="Palatino Linotype" w:eastAsiaTheme="minorEastAsia" w:hAnsi="Palatino Linotype" w:cstheme="majorBidi"/>
          <w:highlight w:val="cyan"/>
          <w:lang w:val="en-US"/>
        </w:rPr>
        <w:t>the provision of the service neither requires the utilization of a unique asset or a valuable intangible asset, nor gives rise to such intangible asset; and</w:t>
      </w:r>
    </w:p>
    <w:p w14:paraId="42B174E1" w14:textId="02258D64" w:rsidR="006D6B87" w:rsidRPr="00956654" w:rsidRDefault="006D6B87" w:rsidP="00040A6D">
      <w:pPr>
        <w:pStyle w:val="ListParagraph"/>
        <w:numPr>
          <w:ilvl w:val="0"/>
          <w:numId w:val="15"/>
        </w:numPr>
        <w:spacing w:after="120"/>
        <w:ind w:left="1980" w:hanging="634"/>
        <w:contextualSpacing w:val="0"/>
        <w:jc w:val="both"/>
        <w:rPr>
          <w:rFonts w:ascii="Palatino Linotype" w:eastAsiaTheme="minorEastAsia" w:hAnsi="Palatino Linotype" w:cstheme="majorBidi"/>
          <w:highlight w:val="cyan"/>
          <w:lang w:val="en-US"/>
        </w:rPr>
      </w:pPr>
      <w:r w:rsidRPr="00956654">
        <w:rPr>
          <w:rFonts w:ascii="Palatino Linotype" w:eastAsiaTheme="minorEastAsia" w:hAnsi="Palatino Linotype" w:cstheme="majorBidi"/>
          <w:highlight w:val="cyan"/>
          <w:lang w:val="en-US"/>
        </w:rPr>
        <w:t xml:space="preserve">the provision of the service does not involve the assumption or control of significant risk by the </w:t>
      </w:r>
      <w:r w:rsidR="00695F9E" w:rsidRPr="00956654">
        <w:rPr>
          <w:rFonts w:ascii="Palatino Linotype" w:eastAsiaTheme="minorEastAsia" w:hAnsi="Palatino Linotype" w:cstheme="majorBidi"/>
          <w:highlight w:val="cyan"/>
          <w:lang w:val="en-US"/>
        </w:rPr>
        <w:t>taxpayer</w:t>
      </w:r>
      <w:r w:rsidRPr="00956654">
        <w:rPr>
          <w:rFonts w:ascii="Palatino Linotype" w:eastAsiaTheme="minorEastAsia" w:hAnsi="Palatino Linotype" w:cstheme="majorBidi"/>
          <w:highlight w:val="cyan"/>
          <w:lang w:val="en-US"/>
        </w:rPr>
        <w:t>.</w:t>
      </w:r>
    </w:p>
    <w:p w14:paraId="293FB690" w14:textId="55849840" w:rsidR="004F3E0B" w:rsidRPr="00321931" w:rsidRDefault="004F3E0B" w:rsidP="00040A6D">
      <w:pPr>
        <w:pStyle w:val="ListParagraph"/>
        <w:numPr>
          <w:ilvl w:val="0"/>
          <w:numId w:val="31"/>
        </w:numPr>
        <w:spacing w:after="120"/>
        <w:ind w:left="1350" w:hanging="630"/>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“Group to which </w:t>
      </w:r>
      <w:r w:rsidRPr="00574626">
        <w:rPr>
          <w:rFonts w:ascii="Palatino Linotype" w:eastAsiaTheme="minorEastAsia" w:hAnsi="Palatino Linotype" w:cstheme="majorBidi"/>
          <w:highlight w:val="cyan"/>
          <w:lang w:val="en-US"/>
        </w:rPr>
        <w:t xml:space="preserve">the </w:t>
      </w:r>
      <w:r w:rsidR="00695F9E" w:rsidRPr="00574626">
        <w:rPr>
          <w:rFonts w:ascii="Palatino Linotype" w:eastAsiaTheme="minorEastAsia" w:hAnsi="Palatino Linotype" w:cstheme="majorBidi"/>
          <w:highlight w:val="cyan"/>
          <w:lang w:val="en-US"/>
        </w:rPr>
        <w:t>taxpayer</w:t>
      </w:r>
      <w:r w:rsidRPr="00321931">
        <w:rPr>
          <w:rFonts w:ascii="Palatino Linotype" w:eastAsiaTheme="minorEastAsia" w:hAnsi="Palatino Linotype" w:cstheme="majorBidi"/>
          <w:lang w:val="en-US"/>
        </w:rPr>
        <w:t xml:space="preserve"> belongs” refers to a group of entities all of which are associated with each other and that includes:</w:t>
      </w:r>
    </w:p>
    <w:p w14:paraId="0C4B6CC3" w14:textId="5AD1B2D4" w:rsidR="004F3E0B" w:rsidRPr="00574626" w:rsidRDefault="004F3E0B" w:rsidP="00040A6D">
      <w:pPr>
        <w:pStyle w:val="ListParagraph"/>
        <w:numPr>
          <w:ilvl w:val="0"/>
          <w:numId w:val="14"/>
        </w:numPr>
        <w:spacing w:after="120"/>
        <w:ind w:left="1980" w:hanging="634"/>
        <w:contextualSpacing w:val="0"/>
        <w:jc w:val="both"/>
        <w:rPr>
          <w:rFonts w:ascii="Palatino Linotype" w:eastAsiaTheme="minorEastAsia" w:hAnsi="Palatino Linotype" w:cstheme="majorBidi"/>
          <w:highlight w:val="cyan"/>
          <w:lang w:val="en-US"/>
        </w:rPr>
      </w:pPr>
      <w:r w:rsidRPr="00574626">
        <w:rPr>
          <w:rFonts w:ascii="Palatino Linotype" w:eastAsiaTheme="minorEastAsia" w:hAnsi="Palatino Linotype" w:cstheme="majorBidi"/>
          <w:highlight w:val="cyan"/>
          <w:lang w:val="en-US"/>
        </w:rPr>
        <w:t xml:space="preserve">the </w:t>
      </w:r>
      <w:proofErr w:type="gramStart"/>
      <w:r w:rsidR="00695F9E" w:rsidRPr="00574626">
        <w:rPr>
          <w:rFonts w:ascii="Palatino Linotype" w:eastAsiaTheme="minorEastAsia" w:hAnsi="Palatino Linotype" w:cstheme="majorBidi"/>
          <w:highlight w:val="cyan"/>
          <w:lang w:val="en-US"/>
        </w:rPr>
        <w:t>taxpayer</w:t>
      </w:r>
      <w:r w:rsidRPr="00574626">
        <w:rPr>
          <w:rFonts w:ascii="Palatino Linotype" w:eastAsiaTheme="minorEastAsia" w:hAnsi="Palatino Linotype" w:cstheme="majorBidi"/>
          <w:highlight w:val="cyan"/>
          <w:lang w:val="en-US"/>
        </w:rPr>
        <w:t>;</w:t>
      </w:r>
      <w:proofErr w:type="gramEnd"/>
    </w:p>
    <w:p w14:paraId="44981C07" w14:textId="39C65837" w:rsidR="004F3E0B" w:rsidRPr="00321931" w:rsidRDefault="004F3E0B" w:rsidP="00040A6D">
      <w:pPr>
        <w:pStyle w:val="ListParagraph"/>
        <w:numPr>
          <w:ilvl w:val="0"/>
          <w:numId w:val="14"/>
        </w:numPr>
        <w:spacing w:after="120"/>
        <w:ind w:left="1980" w:hanging="634"/>
        <w:contextualSpacing w:val="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where </w:t>
      </w:r>
      <w:r w:rsidRPr="00574626">
        <w:rPr>
          <w:rFonts w:ascii="Palatino Linotype" w:eastAsiaTheme="minorEastAsia" w:hAnsi="Palatino Linotype" w:cstheme="majorBidi"/>
          <w:highlight w:val="cyan"/>
          <w:lang w:val="en-US"/>
        </w:rPr>
        <w:t xml:space="preserve">the </w:t>
      </w:r>
      <w:r w:rsidR="00695F9E" w:rsidRPr="00574626">
        <w:rPr>
          <w:rFonts w:ascii="Palatino Linotype" w:eastAsiaTheme="minorEastAsia" w:hAnsi="Palatino Linotype" w:cstheme="majorBidi"/>
          <w:highlight w:val="cyan"/>
          <w:lang w:val="en-US"/>
        </w:rPr>
        <w:t>taxpayer</w:t>
      </w:r>
      <w:r w:rsidRPr="00321931">
        <w:rPr>
          <w:rFonts w:ascii="Palatino Linotype" w:eastAsiaTheme="minorEastAsia" w:hAnsi="Palatino Linotype" w:cstheme="majorBidi"/>
          <w:lang w:val="en-US"/>
        </w:rPr>
        <w:t xml:space="preserve"> is a partnership, the partners of the </w:t>
      </w:r>
      <w:proofErr w:type="gramStart"/>
      <w:r w:rsidRPr="00321931">
        <w:rPr>
          <w:rFonts w:ascii="Palatino Linotype" w:eastAsiaTheme="minorEastAsia" w:hAnsi="Palatino Linotype" w:cstheme="majorBidi"/>
          <w:lang w:val="en-US"/>
        </w:rPr>
        <w:t>partnership;</w:t>
      </w:r>
      <w:proofErr w:type="gramEnd"/>
    </w:p>
    <w:p w14:paraId="7F107568" w14:textId="52D8D5DC" w:rsidR="008F4BA6" w:rsidRPr="00321931" w:rsidRDefault="004F3E0B" w:rsidP="00040A6D">
      <w:pPr>
        <w:pStyle w:val="ListParagraph"/>
        <w:numPr>
          <w:ilvl w:val="0"/>
          <w:numId w:val="14"/>
        </w:numPr>
        <w:spacing w:after="120"/>
        <w:ind w:left="1980" w:hanging="634"/>
        <w:contextualSpacing w:val="0"/>
        <w:jc w:val="both"/>
        <w:rPr>
          <w:rFonts w:ascii="Palatino Linotype" w:hAnsi="Palatino Linotype"/>
          <w:lang w:val="en-US"/>
        </w:rPr>
      </w:pPr>
      <w:r w:rsidRPr="00321931">
        <w:rPr>
          <w:rFonts w:ascii="Palatino Linotype" w:eastAsiaTheme="minorEastAsia" w:hAnsi="Palatino Linotype" w:cstheme="majorBidi"/>
          <w:lang w:val="en-US"/>
        </w:rPr>
        <w:t xml:space="preserve">where </w:t>
      </w:r>
      <w:r w:rsidRPr="00574626">
        <w:rPr>
          <w:rFonts w:ascii="Palatino Linotype" w:eastAsiaTheme="minorEastAsia" w:hAnsi="Palatino Linotype" w:cstheme="majorBidi"/>
          <w:highlight w:val="cyan"/>
          <w:lang w:val="en-US"/>
        </w:rPr>
        <w:t xml:space="preserve">the </w:t>
      </w:r>
      <w:r w:rsidR="00695F9E" w:rsidRPr="00574626">
        <w:rPr>
          <w:rFonts w:ascii="Palatino Linotype" w:eastAsiaTheme="minorEastAsia" w:hAnsi="Palatino Linotype" w:cstheme="majorBidi"/>
          <w:highlight w:val="cyan"/>
          <w:lang w:val="en-US"/>
        </w:rPr>
        <w:t>taxpayer</w:t>
      </w:r>
      <w:r w:rsidRPr="00321931">
        <w:rPr>
          <w:rFonts w:ascii="Palatino Linotype" w:eastAsiaTheme="minorEastAsia" w:hAnsi="Palatino Linotype" w:cstheme="majorBidi"/>
          <w:lang w:val="en-US"/>
        </w:rPr>
        <w:t xml:space="preserve"> is a trust, the trustees of the trust.</w:t>
      </w:r>
    </w:p>
    <w:p w14:paraId="5FA86E83" w14:textId="01F9F098" w:rsidR="00964C3C" w:rsidRDefault="00964C3C" w:rsidP="00040A6D">
      <w:pPr>
        <w:pStyle w:val="ListParagraph"/>
        <w:numPr>
          <w:ilvl w:val="0"/>
          <w:numId w:val="31"/>
        </w:numPr>
        <w:tabs>
          <w:tab w:val="left" w:pos="1530"/>
        </w:tabs>
        <w:ind w:left="1350" w:hanging="54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“Tested </w:t>
      </w:r>
      <w:r w:rsidR="005E7891">
        <w:rPr>
          <w:rFonts w:ascii="Palatino Linotype" w:eastAsiaTheme="minorEastAsia" w:hAnsi="Palatino Linotype" w:cstheme="majorBidi"/>
          <w:lang w:val="en-US"/>
        </w:rPr>
        <w:t>p</w:t>
      </w:r>
      <w:r w:rsidRPr="00321931">
        <w:rPr>
          <w:rFonts w:ascii="Palatino Linotype" w:eastAsiaTheme="minorEastAsia" w:hAnsi="Palatino Linotype" w:cstheme="majorBidi"/>
          <w:lang w:val="en-US"/>
        </w:rPr>
        <w:t>arty” means the most suitable party to whom a transfer pricing method can be applied in the most reliable manner and most reliable comparable can be found.</w:t>
      </w:r>
    </w:p>
    <w:p w14:paraId="3DE535CE" w14:textId="77777777" w:rsidR="00E42B29" w:rsidRPr="00321931" w:rsidRDefault="00E42B29" w:rsidP="00E42B29">
      <w:pPr>
        <w:pStyle w:val="ListParagraph"/>
        <w:tabs>
          <w:tab w:val="left" w:pos="1530"/>
        </w:tabs>
        <w:ind w:left="1350"/>
        <w:jc w:val="both"/>
        <w:rPr>
          <w:rFonts w:ascii="Palatino Linotype" w:eastAsiaTheme="minorEastAsia" w:hAnsi="Palatino Linotype" w:cstheme="majorBidi"/>
          <w:lang w:val="en-US"/>
        </w:rPr>
      </w:pPr>
    </w:p>
    <w:p w14:paraId="77D8C08E" w14:textId="77777777" w:rsidR="00BE655B" w:rsidRPr="00321931" w:rsidRDefault="00E5051F" w:rsidP="00105FDD">
      <w:pPr>
        <w:pStyle w:val="Heading2"/>
        <w:numPr>
          <w:ilvl w:val="0"/>
          <w:numId w:val="1"/>
        </w:numPr>
        <w:tabs>
          <w:tab w:val="left" w:pos="630"/>
        </w:tabs>
        <w:spacing w:before="0" w:after="120"/>
        <w:ind w:left="720" w:hanging="720"/>
        <w:rPr>
          <w:rFonts w:ascii="Palatino Linotype" w:hAnsi="Palatino Linotype"/>
          <w:color w:val="auto"/>
          <w:sz w:val="22"/>
          <w:szCs w:val="22"/>
          <w:lang w:val="en-GB"/>
        </w:rPr>
      </w:pPr>
      <w:bookmarkStart w:id="56" w:name="_Toc136789337"/>
      <w:r w:rsidRPr="00321931">
        <w:rPr>
          <w:rFonts w:ascii="Palatino Linotype" w:hAnsi="Palatino Linotype"/>
          <w:color w:val="auto"/>
          <w:sz w:val="22"/>
          <w:szCs w:val="22"/>
          <w:lang w:val="en-GB"/>
        </w:rPr>
        <w:t xml:space="preserve">Commencement </w:t>
      </w:r>
      <w:r w:rsidR="00BE655B" w:rsidRPr="00321931">
        <w:rPr>
          <w:rFonts w:ascii="Palatino Linotype" w:hAnsi="Palatino Linotype"/>
          <w:color w:val="auto"/>
          <w:sz w:val="22"/>
          <w:szCs w:val="22"/>
          <w:lang w:val="en-GB"/>
        </w:rPr>
        <w:t>of the Regulation</w:t>
      </w:r>
      <w:bookmarkEnd w:id="56"/>
    </w:p>
    <w:p w14:paraId="1722626C" w14:textId="0F49E7B8" w:rsidR="00FB13E5" w:rsidRPr="00321931" w:rsidRDefault="00BE655B" w:rsidP="00964C3C">
      <w:pPr>
        <w:pStyle w:val="ListParagraph"/>
        <w:spacing w:after="12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This Regulation shall take effect from the date of its publication in the Government Gazette.</w:t>
      </w:r>
      <w:r w:rsidR="00FB13E5" w:rsidRPr="00321931">
        <w:rPr>
          <w:rFonts w:ascii="Palatino Linotype" w:eastAsiaTheme="minorEastAsia" w:hAnsi="Palatino Linotype" w:cstheme="majorBidi"/>
          <w:lang w:val="en-US"/>
        </w:rPr>
        <w:br w:type="page"/>
      </w:r>
    </w:p>
    <w:p w14:paraId="5B6AF610" w14:textId="240BEA64" w:rsidR="00FB13E5" w:rsidRPr="00321931" w:rsidRDefault="00FB13E5" w:rsidP="00105FDD">
      <w:pPr>
        <w:pStyle w:val="Heading1"/>
        <w:rPr>
          <w:b w:val="0"/>
          <w:bCs w:val="0"/>
          <w:sz w:val="24"/>
          <w:szCs w:val="24"/>
        </w:rPr>
      </w:pPr>
      <w:bookmarkStart w:id="57" w:name="_Toc136789338"/>
      <w:r w:rsidRPr="00321931">
        <w:rPr>
          <w:sz w:val="24"/>
          <w:szCs w:val="24"/>
        </w:rPr>
        <w:lastRenderedPageBreak/>
        <w:t xml:space="preserve">Schedule 1: </w:t>
      </w:r>
      <w:r w:rsidRPr="00E56B63">
        <w:rPr>
          <w:sz w:val="24"/>
          <w:szCs w:val="24"/>
          <w:highlight w:val="cyan"/>
        </w:rPr>
        <w:t xml:space="preserve">Low </w:t>
      </w:r>
      <w:r w:rsidR="008F4A76" w:rsidRPr="00E56B63">
        <w:rPr>
          <w:sz w:val="24"/>
          <w:szCs w:val="24"/>
          <w:highlight w:val="cyan"/>
        </w:rPr>
        <w:t>v</w:t>
      </w:r>
      <w:r w:rsidRPr="00E56B63">
        <w:rPr>
          <w:sz w:val="24"/>
          <w:szCs w:val="24"/>
          <w:highlight w:val="cyan"/>
        </w:rPr>
        <w:t xml:space="preserve">alue </w:t>
      </w:r>
      <w:r w:rsidR="008F4A76" w:rsidRPr="00E56B63">
        <w:rPr>
          <w:sz w:val="24"/>
          <w:szCs w:val="24"/>
          <w:highlight w:val="cyan"/>
        </w:rPr>
        <w:t>a</w:t>
      </w:r>
      <w:r w:rsidRPr="00E56B63">
        <w:rPr>
          <w:sz w:val="24"/>
          <w:szCs w:val="24"/>
          <w:highlight w:val="cyan"/>
        </w:rPr>
        <w:t xml:space="preserve">dding </w:t>
      </w:r>
      <w:r w:rsidR="008F4A76" w:rsidRPr="00E56B63">
        <w:rPr>
          <w:sz w:val="24"/>
          <w:szCs w:val="24"/>
          <w:highlight w:val="cyan"/>
        </w:rPr>
        <w:t>i</w:t>
      </w:r>
      <w:r w:rsidRPr="00E56B63">
        <w:rPr>
          <w:sz w:val="24"/>
          <w:szCs w:val="24"/>
          <w:highlight w:val="cyan"/>
        </w:rPr>
        <w:t xml:space="preserve">ntra-group </w:t>
      </w:r>
      <w:proofErr w:type="gramStart"/>
      <w:r w:rsidR="008F4A76" w:rsidRPr="00E56B63">
        <w:rPr>
          <w:sz w:val="24"/>
          <w:szCs w:val="24"/>
          <w:highlight w:val="cyan"/>
        </w:rPr>
        <w:t>s</w:t>
      </w:r>
      <w:r w:rsidRPr="00E56B63">
        <w:rPr>
          <w:sz w:val="24"/>
          <w:szCs w:val="24"/>
          <w:highlight w:val="cyan"/>
        </w:rPr>
        <w:t>ervices</w:t>
      </w:r>
      <w:bookmarkEnd w:id="57"/>
      <w:proofErr w:type="gramEnd"/>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29"/>
        <w:gridCol w:w="6930"/>
      </w:tblGrid>
      <w:tr w:rsidR="00415A84" w:rsidRPr="00321931" w14:paraId="21D79C83" w14:textId="77777777" w:rsidTr="00AA4BF9">
        <w:trPr>
          <w:trHeight w:val="882"/>
        </w:trPr>
        <w:tc>
          <w:tcPr>
            <w:tcW w:w="2131" w:type="dxa"/>
          </w:tcPr>
          <w:p w14:paraId="316EB99A" w14:textId="77777777" w:rsidR="00FB13E5" w:rsidRPr="00321931" w:rsidRDefault="00FB13E5" w:rsidP="00AA4BF9">
            <w:pPr>
              <w:spacing w:line="276" w:lineRule="auto"/>
              <w:jc w:val="both"/>
              <w:rPr>
                <w:rFonts w:ascii="Palatino Linotype" w:eastAsiaTheme="minorEastAsia" w:hAnsi="Palatino Linotype" w:cstheme="majorBidi"/>
                <w:b/>
                <w:bCs/>
                <w:lang w:val="en-US"/>
              </w:rPr>
            </w:pPr>
          </w:p>
          <w:p w14:paraId="7FD31119" w14:textId="77777777" w:rsidR="00FB13E5" w:rsidRPr="00321931" w:rsidRDefault="00FB13E5" w:rsidP="00AA4BF9">
            <w:pPr>
              <w:spacing w:line="276" w:lineRule="auto"/>
              <w:jc w:val="both"/>
              <w:rPr>
                <w:rFonts w:ascii="Palatino Linotype" w:eastAsiaTheme="minorEastAsia" w:hAnsi="Palatino Linotype" w:cstheme="majorBidi"/>
                <w:b/>
                <w:bCs/>
                <w:lang w:val="en-US"/>
              </w:rPr>
            </w:pPr>
            <w:r w:rsidRPr="00321931">
              <w:rPr>
                <w:rFonts w:ascii="Palatino Linotype" w:eastAsiaTheme="minorEastAsia" w:hAnsi="Palatino Linotype" w:cstheme="majorBidi"/>
                <w:b/>
                <w:bCs/>
                <w:lang w:val="en-US"/>
              </w:rPr>
              <w:t>Service</w:t>
            </w:r>
          </w:p>
        </w:tc>
        <w:tc>
          <w:tcPr>
            <w:tcW w:w="6959" w:type="dxa"/>
            <w:gridSpan w:val="2"/>
          </w:tcPr>
          <w:p w14:paraId="5F43E936" w14:textId="77777777" w:rsidR="00FB13E5" w:rsidRPr="00321931" w:rsidRDefault="00FB13E5" w:rsidP="00AA4BF9">
            <w:pPr>
              <w:spacing w:line="276" w:lineRule="auto"/>
              <w:jc w:val="both"/>
              <w:rPr>
                <w:rFonts w:ascii="Palatino Linotype" w:eastAsiaTheme="minorEastAsia" w:hAnsi="Palatino Linotype" w:cstheme="majorBidi"/>
                <w:b/>
                <w:bCs/>
                <w:lang w:val="en-US"/>
              </w:rPr>
            </w:pPr>
          </w:p>
          <w:p w14:paraId="4B56A3A5" w14:textId="77777777" w:rsidR="00FB13E5" w:rsidRPr="00321931" w:rsidRDefault="00FB13E5" w:rsidP="00AA4BF9">
            <w:pPr>
              <w:spacing w:line="276" w:lineRule="auto"/>
              <w:jc w:val="both"/>
              <w:rPr>
                <w:rFonts w:ascii="Palatino Linotype" w:hAnsi="Palatino Linotype" w:cstheme="majorBidi"/>
                <w:b/>
                <w:bCs/>
                <w:sz w:val="21"/>
                <w:szCs w:val="21"/>
              </w:rPr>
            </w:pPr>
            <w:r w:rsidRPr="00321931">
              <w:rPr>
                <w:rFonts w:ascii="Palatino Linotype" w:eastAsiaTheme="minorEastAsia" w:hAnsi="Palatino Linotype" w:cstheme="majorBidi"/>
                <w:b/>
                <w:bCs/>
                <w:lang w:val="en-US"/>
              </w:rPr>
              <w:t>Description</w:t>
            </w:r>
          </w:p>
        </w:tc>
      </w:tr>
      <w:tr w:rsidR="00415A84" w:rsidRPr="00321931" w14:paraId="3A4E44F4" w14:textId="77777777" w:rsidTr="00AA4BF9">
        <w:tc>
          <w:tcPr>
            <w:tcW w:w="2131" w:type="dxa"/>
          </w:tcPr>
          <w:p w14:paraId="4498DC7E"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Accounting and auditing</w:t>
            </w:r>
          </w:p>
        </w:tc>
        <w:tc>
          <w:tcPr>
            <w:tcW w:w="6959" w:type="dxa"/>
            <w:gridSpan w:val="2"/>
          </w:tcPr>
          <w:p w14:paraId="374FB793"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Maintaining accounting records, preparing financial statements based on accounting records, reconciling financial data, ensuring authenticity and reliability of accounting records, performing operational and financial internal audits, and performing other services of a similar nature.</w:t>
            </w:r>
          </w:p>
          <w:p w14:paraId="0842482A"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51607C46" w14:textId="77777777" w:rsidTr="00AA4BF9">
        <w:tc>
          <w:tcPr>
            <w:tcW w:w="2131" w:type="dxa"/>
          </w:tcPr>
          <w:p w14:paraId="6693E4DB"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Accounts receivable and</w:t>
            </w:r>
          </w:p>
          <w:p w14:paraId="52BF828B"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accounts payable</w:t>
            </w:r>
          </w:p>
        </w:tc>
        <w:tc>
          <w:tcPr>
            <w:tcW w:w="6959" w:type="dxa"/>
            <w:gridSpan w:val="2"/>
          </w:tcPr>
          <w:p w14:paraId="17FFF84C"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Collating and verifying data on accounts receivable and accounts payable for the purposes of financial reporting, aging, billing, soliciting payments from customers, payment to vendors, procurement, and other purposes of a similar nature.</w:t>
            </w:r>
          </w:p>
          <w:p w14:paraId="51E5415E"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3C2BD773" w14:textId="77777777" w:rsidTr="00AA4BF9">
        <w:tc>
          <w:tcPr>
            <w:tcW w:w="2131" w:type="dxa"/>
          </w:tcPr>
          <w:p w14:paraId="0110B079"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Budgeting</w:t>
            </w:r>
          </w:p>
        </w:tc>
        <w:tc>
          <w:tcPr>
            <w:tcW w:w="6959" w:type="dxa"/>
            <w:gridSpan w:val="2"/>
          </w:tcPr>
          <w:p w14:paraId="784EC880"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Compiling data for the purposes of preparing budget estimates and budget reports.</w:t>
            </w:r>
          </w:p>
          <w:p w14:paraId="016EDFB3"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0E466B7C" w14:textId="77777777" w:rsidTr="00AA4BF9">
        <w:tc>
          <w:tcPr>
            <w:tcW w:w="2131" w:type="dxa"/>
          </w:tcPr>
          <w:p w14:paraId="3169330A"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Computer support</w:t>
            </w:r>
          </w:p>
        </w:tc>
        <w:tc>
          <w:tcPr>
            <w:tcW w:w="6959" w:type="dxa"/>
            <w:gridSpan w:val="2"/>
          </w:tcPr>
          <w:p w14:paraId="2BD7CE01"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Providing technical assistance services in relation to usage of computer hardware and software, maintenance of Information Technology infrastructure, troubleshooting support, and other services of a similar nature.</w:t>
            </w:r>
          </w:p>
          <w:p w14:paraId="1106C383"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686684A0" w14:textId="77777777" w:rsidTr="00AA4BF9">
        <w:tc>
          <w:tcPr>
            <w:tcW w:w="2131" w:type="dxa"/>
          </w:tcPr>
          <w:p w14:paraId="1B82EBFC"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Database administration</w:t>
            </w:r>
          </w:p>
        </w:tc>
        <w:tc>
          <w:tcPr>
            <w:tcW w:w="6959" w:type="dxa"/>
            <w:gridSpan w:val="2"/>
          </w:tcPr>
          <w:p w14:paraId="08A3DFFE"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Performing general maintenance of computer databases including data storage, but excluding analytic services performed on stored data.</w:t>
            </w:r>
          </w:p>
          <w:p w14:paraId="11D4C4A8"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083E1E35" w14:textId="77777777" w:rsidTr="00AA4BF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160" w:type="dxa"/>
            <w:gridSpan w:val="2"/>
            <w:tcBorders>
              <w:top w:val="nil"/>
              <w:left w:val="nil"/>
              <w:bottom w:val="nil"/>
              <w:right w:val="nil"/>
            </w:tcBorders>
          </w:tcPr>
          <w:p w14:paraId="662CC4AF"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Employee benefits</w:t>
            </w:r>
          </w:p>
          <w:p w14:paraId="5E8257AC"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administration</w:t>
            </w:r>
          </w:p>
        </w:tc>
        <w:tc>
          <w:tcPr>
            <w:tcW w:w="6930" w:type="dxa"/>
            <w:tcBorders>
              <w:top w:val="nil"/>
              <w:left w:val="nil"/>
              <w:bottom w:val="nil"/>
              <w:right w:val="nil"/>
            </w:tcBorders>
          </w:tcPr>
          <w:p w14:paraId="496A431E"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Administration of employee benefits in relation to healthcare, life insurance and dental, and planning and administration of employee remuneration (including employee incentive compensation).</w:t>
            </w:r>
          </w:p>
          <w:p w14:paraId="0C9DA361"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4466BD20" w14:textId="77777777" w:rsidTr="00AA4BF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160" w:type="dxa"/>
            <w:gridSpan w:val="2"/>
            <w:tcBorders>
              <w:top w:val="nil"/>
              <w:left w:val="nil"/>
              <w:bottom w:val="nil"/>
              <w:right w:val="nil"/>
            </w:tcBorders>
          </w:tcPr>
          <w:p w14:paraId="6402D14F"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General administration</w:t>
            </w:r>
          </w:p>
        </w:tc>
        <w:tc>
          <w:tcPr>
            <w:tcW w:w="6930" w:type="dxa"/>
            <w:tcBorders>
              <w:top w:val="nil"/>
              <w:left w:val="nil"/>
              <w:bottom w:val="nil"/>
              <w:right w:val="nil"/>
            </w:tcBorders>
          </w:tcPr>
          <w:p w14:paraId="5B24A0D5"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Performing clerical and administrative functions such as general purchasing, data entry, photocopying or scanning of materials, scheduling appointments, word processing and maintenance of file registries.</w:t>
            </w:r>
          </w:p>
          <w:p w14:paraId="273B031E"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04587637" w14:textId="77777777" w:rsidTr="00AA4BF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160" w:type="dxa"/>
            <w:gridSpan w:val="2"/>
            <w:tcBorders>
              <w:top w:val="nil"/>
              <w:left w:val="nil"/>
              <w:bottom w:val="nil"/>
              <w:right w:val="nil"/>
            </w:tcBorders>
          </w:tcPr>
          <w:p w14:paraId="1AD3E838"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Legal services</w:t>
            </w:r>
          </w:p>
        </w:tc>
        <w:tc>
          <w:tcPr>
            <w:tcW w:w="6930" w:type="dxa"/>
            <w:tcBorders>
              <w:top w:val="nil"/>
              <w:left w:val="nil"/>
              <w:bottom w:val="nil"/>
              <w:right w:val="nil"/>
            </w:tcBorders>
          </w:tcPr>
          <w:p w14:paraId="4E807699"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Providing general legal services by in-house legal counsel.</w:t>
            </w:r>
          </w:p>
          <w:p w14:paraId="3152A5A6"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2EA3B279" w14:textId="77777777" w:rsidTr="00AA4BF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160" w:type="dxa"/>
            <w:gridSpan w:val="2"/>
            <w:tcBorders>
              <w:top w:val="nil"/>
              <w:left w:val="nil"/>
              <w:bottom w:val="nil"/>
              <w:right w:val="nil"/>
            </w:tcBorders>
          </w:tcPr>
          <w:p w14:paraId="66406857"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Payroll</w:t>
            </w:r>
          </w:p>
        </w:tc>
        <w:tc>
          <w:tcPr>
            <w:tcW w:w="6930" w:type="dxa"/>
            <w:tcBorders>
              <w:top w:val="nil"/>
              <w:left w:val="nil"/>
              <w:bottom w:val="nil"/>
              <w:right w:val="nil"/>
            </w:tcBorders>
          </w:tcPr>
          <w:p w14:paraId="4FEFC751"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 xml:space="preserve">Compiling and verifying the information needed to compute the remuneration, </w:t>
            </w:r>
            <w:proofErr w:type="gramStart"/>
            <w:r w:rsidRPr="00321931">
              <w:rPr>
                <w:rFonts w:ascii="Palatino Linotype" w:eastAsiaTheme="minorEastAsia" w:hAnsi="Palatino Linotype" w:cstheme="majorBidi"/>
                <w:lang w:val="en-US"/>
              </w:rPr>
              <w:t>commissions</w:t>
            </w:r>
            <w:proofErr w:type="gramEnd"/>
            <w:r w:rsidRPr="00321931">
              <w:rPr>
                <w:rFonts w:ascii="Palatino Linotype" w:eastAsiaTheme="minorEastAsia" w:hAnsi="Palatino Linotype" w:cstheme="majorBidi"/>
                <w:lang w:val="en-US"/>
              </w:rPr>
              <w:t xml:space="preserve"> and reimbursements due to employees, </w:t>
            </w:r>
            <w:r w:rsidRPr="00321931">
              <w:rPr>
                <w:rFonts w:ascii="Palatino Linotype" w:eastAsiaTheme="minorEastAsia" w:hAnsi="Palatino Linotype" w:cstheme="majorBidi"/>
                <w:lang w:val="en-US"/>
              </w:rPr>
              <w:lastRenderedPageBreak/>
              <w:t>preparing pay cheques, and arranging the crediting of such payments into employees’ bank accounts.</w:t>
            </w:r>
          </w:p>
          <w:p w14:paraId="3CBE55FA"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6AADFA89" w14:textId="77777777" w:rsidTr="00AA4BF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160" w:type="dxa"/>
            <w:gridSpan w:val="2"/>
            <w:tcBorders>
              <w:top w:val="nil"/>
              <w:left w:val="nil"/>
              <w:bottom w:val="nil"/>
              <w:right w:val="nil"/>
            </w:tcBorders>
          </w:tcPr>
          <w:p w14:paraId="15A73042"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lastRenderedPageBreak/>
              <w:t>Corporate communications</w:t>
            </w:r>
          </w:p>
        </w:tc>
        <w:tc>
          <w:tcPr>
            <w:tcW w:w="6930" w:type="dxa"/>
            <w:tcBorders>
              <w:top w:val="nil"/>
              <w:left w:val="nil"/>
              <w:bottom w:val="nil"/>
              <w:right w:val="nil"/>
            </w:tcBorders>
          </w:tcPr>
          <w:p w14:paraId="49F31A09"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Handling internal and external communications relating to corporate policies.</w:t>
            </w:r>
          </w:p>
          <w:p w14:paraId="0E3A9EBE"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519508AB" w14:textId="77777777" w:rsidTr="00AA4BF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160" w:type="dxa"/>
            <w:gridSpan w:val="2"/>
            <w:tcBorders>
              <w:top w:val="nil"/>
              <w:left w:val="nil"/>
              <w:bottom w:val="nil"/>
              <w:right w:val="nil"/>
            </w:tcBorders>
          </w:tcPr>
          <w:p w14:paraId="6C48B326"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Staffing and recruiting</w:t>
            </w:r>
          </w:p>
        </w:tc>
        <w:tc>
          <w:tcPr>
            <w:tcW w:w="6930" w:type="dxa"/>
            <w:tcBorders>
              <w:top w:val="nil"/>
              <w:left w:val="nil"/>
              <w:bottom w:val="nil"/>
              <w:right w:val="nil"/>
            </w:tcBorders>
          </w:tcPr>
          <w:p w14:paraId="3C0DB3EA"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Managing staffing requirements, performance issues and staff welfare, and wok related to the implementation of recruitment plans such as advertising open positions, and screening of candidates.</w:t>
            </w:r>
          </w:p>
          <w:p w14:paraId="74BBDC44"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73CE7AC0" w14:textId="77777777" w:rsidTr="00AA4BF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160" w:type="dxa"/>
            <w:gridSpan w:val="2"/>
            <w:tcBorders>
              <w:top w:val="nil"/>
              <w:left w:val="nil"/>
              <w:bottom w:val="nil"/>
              <w:right w:val="nil"/>
            </w:tcBorders>
          </w:tcPr>
          <w:p w14:paraId="5DA284E4"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Tax</w:t>
            </w:r>
          </w:p>
        </w:tc>
        <w:tc>
          <w:tcPr>
            <w:tcW w:w="6930" w:type="dxa"/>
            <w:tcBorders>
              <w:top w:val="nil"/>
              <w:left w:val="nil"/>
              <w:bottom w:val="nil"/>
              <w:right w:val="nil"/>
            </w:tcBorders>
          </w:tcPr>
          <w:p w14:paraId="3ED1022F"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Preparing tax returns and computations and reclaim forms, preparing responses to queries and submitting them to tax authorities, and processing tax payments.</w:t>
            </w:r>
          </w:p>
          <w:p w14:paraId="734D995E" w14:textId="77777777" w:rsidR="00FB13E5" w:rsidRPr="00321931" w:rsidRDefault="00FB13E5" w:rsidP="00AA4BF9">
            <w:pPr>
              <w:spacing w:line="276" w:lineRule="auto"/>
              <w:jc w:val="both"/>
              <w:rPr>
                <w:rFonts w:ascii="Palatino Linotype" w:eastAsiaTheme="minorEastAsia" w:hAnsi="Palatino Linotype" w:cstheme="majorBidi"/>
                <w:lang w:val="en-US"/>
              </w:rPr>
            </w:pPr>
          </w:p>
        </w:tc>
      </w:tr>
      <w:tr w:rsidR="00415A84" w:rsidRPr="00321931" w14:paraId="62973F32" w14:textId="77777777" w:rsidTr="00AA4BF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160" w:type="dxa"/>
            <w:gridSpan w:val="2"/>
            <w:tcBorders>
              <w:top w:val="nil"/>
              <w:left w:val="nil"/>
              <w:bottom w:val="nil"/>
              <w:right w:val="nil"/>
            </w:tcBorders>
          </w:tcPr>
          <w:p w14:paraId="6E5478B0"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Training and employee</w:t>
            </w:r>
          </w:p>
          <w:p w14:paraId="39A6F72B" w14:textId="77777777" w:rsidR="00FB13E5" w:rsidRPr="00321931" w:rsidRDefault="00FB13E5" w:rsidP="00AA4BF9">
            <w:pPr>
              <w:spacing w:line="276" w:lineRule="auto"/>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development</w:t>
            </w:r>
          </w:p>
        </w:tc>
        <w:tc>
          <w:tcPr>
            <w:tcW w:w="6930" w:type="dxa"/>
            <w:tcBorders>
              <w:top w:val="nil"/>
              <w:left w:val="nil"/>
              <w:bottom w:val="nil"/>
              <w:right w:val="nil"/>
            </w:tcBorders>
          </w:tcPr>
          <w:p w14:paraId="55650782"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Managing and implementing training and development</w:t>
            </w:r>
          </w:p>
          <w:p w14:paraId="1FDDECBB" w14:textId="77777777" w:rsidR="00FB13E5" w:rsidRPr="00321931" w:rsidRDefault="00FB13E5" w:rsidP="00AA4BF9">
            <w:pPr>
              <w:spacing w:line="276" w:lineRule="auto"/>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t>programs for employees</w:t>
            </w:r>
          </w:p>
        </w:tc>
      </w:tr>
    </w:tbl>
    <w:p w14:paraId="6BE0612D" w14:textId="12D52CBF" w:rsidR="00F2731C" w:rsidRPr="00321931" w:rsidRDefault="00F2731C" w:rsidP="00105FDD">
      <w:pPr>
        <w:pStyle w:val="ListParagraph"/>
        <w:spacing w:after="120"/>
        <w:jc w:val="both"/>
        <w:rPr>
          <w:rFonts w:ascii="Palatino Linotype" w:eastAsiaTheme="minorEastAsia" w:hAnsi="Palatino Linotype" w:cstheme="majorBidi"/>
          <w:lang w:val="en-US"/>
        </w:rPr>
      </w:pPr>
      <w:r w:rsidRPr="00321931">
        <w:rPr>
          <w:rFonts w:ascii="Palatino Linotype" w:eastAsiaTheme="minorEastAsia" w:hAnsi="Palatino Linotype" w:cstheme="majorBidi"/>
          <w:lang w:val="en-US"/>
        </w:rPr>
        <w:br w:type="page"/>
      </w:r>
    </w:p>
    <w:p w14:paraId="46E49133" w14:textId="62D05FFE" w:rsidR="008D67FD" w:rsidRPr="00321931" w:rsidRDefault="008D67FD" w:rsidP="00105FDD">
      <w:pPr>
        <w:pStyle w:val="Heading1"/>
        <w:rPr>
          <w:sz w:val="24"/>
          <w:szCs w:val="24"/>
        </w:rPr>
      </w:pPr>
      <w:bookmarkStart w:id="58" w:name="_Toc136789339"/>
      <w:r w:rsidRPr="00321931">
        <w:rPr>
          <w:sz w:val="24"/>
          <w:szCs w:val="24"/>
        </w:rPr>
        <w:lastRenderedPageBreak/>
        <w:t xml:space="preserve">Schedule </w:t>
      </w:r>
      <w:r w:rsidR="00FB13E5" w:rsidRPr="00321931">
        <w:rPr>
          <w:sz w:val="24"/>
          <w:szCs w:val="24"/>
        </w:rPr>
        <w:t>2</w:t>
      </w:r>
      <w:r w:rsidRPr="00321931">
        <w:rPr>
          <w:sz w:val="24"/>
          <w:szCs w:val="24"/>
        </w:rPr>
        <w:t>: Information to be included in the Transfer Pricing Documentation</w:t>
      </w:r>
      <w:bookmarkEnd w:id="58"/>
    </w:p>
    <w:p w14:paraId="673798D3" w14:textId="77777777" w:rsidR="001B1BEE" w:rsidRPr="00321931" w:rsidRDefault="001B1BEE" w:rsidP="00105FDD">
      <w:pPr>
        <w:rPr>
          <w:rFonts w:ascii="Palatino Linotype" w:hAnsi="Palatino Linotype"/>
          <w:lang w:val="en-GB"/>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30"/>
        <w:gridCol w:w="540"/>
        <w:gridCol w:w="630"/>
        <w:gridCol w:w="630"/>
        <w:gridCol w:w="720"/>
        <w:gridCol w:w="4050"/>
      </w:tblGrid>
      <w:tr w:rsidR="00415A84" w:rsidRPr="00321931" w14:paraId="38706953" w14:textId="77777777" w:rsidTr="007E3C0D">
        <w:tc>
          <w:tcPr>
            <w:tcW w:w="1890" w:type="dxa"/>
          </w:tcPr>
          <w:p w14:paraId="49A31FFA" w14:textId="77777777" w:rsidR="00EC66C7" w:rsidRPr="00483ED7" w:rsidRDefault="00EC66C7" w:rsidP="003772B6">
            <w:pPr>
              <w:spacing w:line="276" w:lineRule="auto"/>
              <w:jc w:val="both"/>
              <w:rPr>
                <w:rFonts w:ascii="Palatino Linotype" w:hAnsi="Palatino Linotype" w:cstheme="majorBidi"/>
                <w:b/>
                <w:bCs/>
                <w:sz w:val="18"/>
                <w:szCs w:val="18"/>
              </w:rPr>
            </w:pPr>
            <w:r w:rsidRPr="00483ED7">
              <w:rPr>
                <w:rFonts w:ascii="Palatino Linotype" w:hAnsi="Palatino Linotype" w:cstheme="majorBidi"/>
                <w:b/>
                <w:bCs/>
                <w:sz w:val="18"/>
                <w:szCs w:val="18"/>
              </w:rPr>
              <w:t xml:space="preserve">Master File </w:t>
            </w:r>
          </w:p>
          <w:p w14:paraId="120E9A7B" w14:textId="77777777" w:rsidR="00EC66C7" w:rsidRPr="00483ED7" w:rsidRDefault="00EC66C7" w:rsidP="003772B6">
            <w:pPr>
              <w:spacing w:line="276" w:lineRule="auto"/>
              <w:jc w:val="both"/>
              <w:rPr>
                <w:rFonts w:ascii="Palatino Linotype" w:hAnsi="Palatino Linotype" w:cstheme="majorBidi"/>
                <w:b/>
                <w:bCs/>
                <w:sz w:val="18"/>
                <w:szCs w:val="18"/>
              </w:rPr>
            </w:pPr>
          </w:p>
        </w:tc>
        <w:tc>
          <w:tcPr>
            <w:tcW w:w="630" w:type="dxa"/>
          </w:tcPr>
          <w:p w14:paraId="5549204C" w14:textId="77777777" w:rsidR="00EC66C7" w:rsidRPr="00321931" w:rsidRDefault="00EC66C7" w:rsidP="003772B6">
            <w:pPr>
              <w:spacing w:line="276" w:lineRule="auto"/>
              <w:jc w:val="both"/>
              <w:rPr>
                <w:rFonts w:ascii="Palatino Linotype" w:hAnsi="Palatino Linotype" w:cstheme="majorBidi"/>
              </w:rPr>
            </w:pPr>
            <w:r w:rsidRPr="00321931">
              <w:rPr>
                <w:rFonts w:ascii="Palatino Linotype" w:hAnsi="Palatino Linotype" w:cstheme="majorBidi"/>
              </w:rPr>
              <w:t>1.</w:t>
            </w:r>
          </w:p>
        </w:tc>
        <w:tc>
          <w:tcPr>
            <w:tcW w:w="6570" w:type="dxa"/>
            <w:gridSpan w:val="5"/>
          </w:tcPr>
          <w:p w14:paraId="7168E59D" w14:textId="26AD5D3B" w:rsidR="00EC66C7" w:rsidRPr="00321931" w:rsidRDefault="00B324BB" w:rsidP="003772B6">
            <w:pPr>
              <w:spacing w:line="276" w:lineRule="auto"/>
              <w:jc w:val="both"/>
              <w:rPr>
                <w:rFonts w:ascii="Palatino Linotype" w:hAnsi="Palatino Linotype" w:cstheme="majorBidi"/>
              </w:rPr>
            </w:pPr>
            <w:r w:rsidRPr="00E56B63">
              <w:rPr>
                <w:rFonts w:ascii="Palatino Linotype" w:hAnsi="Palatino Linotype" w:cstheme="majorBidi"/>
                <w:highlight w:val="cyan"/>
              </w:rPr>
              <w:t xml:space="preserve">The Master File shall provide an </w:t>
            </w:r>
            <w:r w:rsidR="00EC66C7" w:rsidRPr="00E56B63">
              <w:rPr>
                <w:rFonts w:ascii="Palatino Linotype" w:hAnsi="Palatino Linotype" w:cstheme="majorBidi"/>
                <w:highlight w:val="cyan"/>
              </w:rPr>
              <w:t xml:space="preserve">overview of the </w:t>
            </w:r>
            <w:r w:rsidRPr="00E56B63">
              <w:rPr>
                <w:rFonts w:ascii="Palatino Linotype" w:hAnsi="Palatino Linotype" w:cstheme="majorBidi"/>
                <w:highlight w:val="cyan"/>
              </w:rPr>
              <w:t xml:space="preserve">global </w:t>
            </w:r>
            <w:r w:rsidR="00EC66C7" w:rsidRPr="00E56B63">
              <w:rPr>
                <w:rFonts w:ascii="Palatino Linotype" w:hAnsi="Palatino Linotype" w:cstheme="majorBidi"/>
                <w:highlight w:val="cyan"/>
              </w:rPr>
              <w:t xml:space="preserve">business </w:t>
            </w:r>
            <w:r w:rsidRPr="00E56B63">
              <w:rPr>
                <w:rFonts w:ascii="Palatino Linotype" w:hAnsi="Palatino Linotype" w:cstheme="majorBidi"/>
                <w:highlight w:val="cyan"/>
              </w:rPr>
              <w:t xml:space="preserve">operations </w:t>
            </w:r>
            <w:r w:rsidR="00EC66C7" w:rsidRPr="00E56B63">
              <w:rPr>
                <w:rFonts w:ascii="Palatino Linotype" w:hAnsi="Palatino Linotype" w:cstheme="majorBidi"/>
                <w:highlight w:val="cyan"/>
              </w:rPr>
              <w:t xml:space="preserve">of the </w:t>
            </w:r>
            <w:r w:rsidR="00816BA0" w:rsidRPr="00E56B63">
              <w:rPr>
                <w:rFonts w:ascii="Palatino Linotype" w:hAnsi="Palatino Linotype" w:cstheme="majorBidi"/>
                <w:highlight w:val="cyan"/>
              </w:rPr>
              <w:t xml:space="preserve">group to which the </w:t>
            </w:r>
            <w:r w:rsidR="00695F9E" w:rsidRPr="00E56B63">
              <w:rPr>
                <w:rFonts w:ascii="Palatino Linotype" w:hAnsi="Palatino Linotype" w:cstheme="majorBidi"/>
                <w:highlight w:val="cyan"/>
              </w:rPr>
              <w:t>taxpayer</w:t>
            </w:r>
            <w:r w:rsidR="00816BA0" w:rsidRPr="00E56B63">
              <w:rPr>
                <w:rFonts w:ascii="Palatino Linotype" w:hAnsi="Palatino Linotype" w:cstheme="majorBidi"/>
                <w:highlight w:val="cyan"/>
              </w:rPr>
              <w:t xml:space="preserve"> belongs</w:t>
            </w:r>
            <w:r w:rsidR="00EC66C7" w:rsidRPr="00E56B63">
              <w:rPr>
                <w:rFonts w:ascii="Palatino Linotype" w:hAnsi="Palatino Linotype" w:cstheme="majorBidi"/>
                <w:highlight w:val="cyan"/>
              </w:rPr>
              <w:t xml:space="preserve">, </w:t>
            </w:r>
            <w:r w:rsidRPr="00E56B63">
              <w:rPr>
                <w:rFonts w:ascii="Palatino Linotype" w:hAnsi="Palatino Linotype" w:cstheme="majorBidi"/>
                <w:highlight w:val="cyan"/>
              </w:rPr>
              <w:t>and shall include</w:t>
            </w:r>
            <w:r w:rsidR="00CB5AB5" w:rsidRPr="00E56B63">
              <w:rPr>
                <w:rFonts w:ascii="Palatino Linotype" w:hAnsi="Palatino Linotype" w:cstheme="majorBidi"/>
                <w:highlight w:val="cyan"/>
              </w:rPr>
              <w:t xml:space="preserve"> the following information:</w:t>
            </w:r>
          </w:p>
          <w:p w14:paraId="603DA85A" w14:textId="77777777" w:rsidR="00EC66C7" w:rsidRPr="00321931" w:rsidRDefault="00EC66C7" w:rsidP="003772B6">
            <w:pPr>
              <w:spacing w:line="276" w:lineRule="auto"/>
              <w:jc w:val="both"/>
              <w:rPr>
                <w:rFonts w:ascii="Palatino Linotype" w:hAnsi="Palatino Linotype" w:cstheme="majorBidi"/>
              </w:rPr>
            </w:pPr>
          </w:p>
        </w:tc>
      </w:tr>
      <w:tr w:rsidR="00415A84" w:rsidRPr="00321931" w14:paraId="04EBE477" w14:textId="77777777" w:rsidTr="007E3C0D">
        <w:tc>
          <w:tcPr>
            <w:tcW w:w="1890" w:type="dxa"/>
          </w:tcPr>
          <w:p w14:paraId="4B856CD1" w14:textId="77777777" w:rsidR="00EC66C7" w:rsidRPr="00483ED7" w:rsidRDefault="00FE3498" w:rsidP="003772B6">
            <w:pPr>
              <w:spacing w:line="276" w:lineRule="auto"/>
              <w:jc w:val="both"/>
              <w:rPr>
                <w:rFonts w:ascii="Palatino Linotype" w:hAnsi="Palatino Linotype" w:cstheme="majorBidi"/>
                <w:b/>
                <w:bCs/>
                <w:sz w:val="18"/>
                <w:szCs w:val="18"/>
              </w:rPr>
            </w:pPr>
            <w:r w:rsidRPr="00483ED7">
              <w:rPr>
                <w:rFonts w:ascii="Palatino Linotype" w:hAnsi="Palatino Linotype" w:cstheme="majorBidi"/>
                <w:b/>
                <w:bCs/>
                <w:sz w:val="18"/>
                <w:szCs w:val="18"/>
              </w:rPr>
              <w:t>O</w:t>
            </w:r>
            <w:r w:rsidR="00571336" w:rsidRPr="00483ED7">
              <w:rPr>
                <w:rFonts w:ascii="Palatino Linotype" w:hAnsi="Palatino Linotype" w:cstheme="majorBidi"/>
                <w:b/>
                <w:bCs/>
                <w:sz w:val="18"/>
                <w:szCs w:val="18"/>
              </w:rPr>
              <w:t>rganization s</w:t>
            </w:r>
            <w:r w:rsidR="00EC66C7" w:rsidRPr="00483ED7">
              <w:rPr>
                <w:rFonts w:ascii="Palatino Linotype" w:hAnsi="Palatino Linotype" w:cstheme="majorBidi"/>
                <w:b/>
                <w:bCs/>
                <w:sz w:val="18"/>
                <w:szCs w:val="18"/>
              </w:rPr>
              <w:t>tructure</w:t>
            </w:r>
          </w:p>
          <w:p w14:paraId="58AC7BB2" w14:textId="77777777" w:rsidR="00EC66C7" w:rsidRPr="00483ED7" w:rsidRDefault="00EC66C7" w:rsidP="003772B6">
            <w:pPr>
              <w:spacing w:line="276" w:lineRule="auto"/>
              <w:jc w:val="both"/>
              <w:rPr>
                <w:rFonts w:ascii="Palatino Linotype" w:hAnsi="Palatino Linotype" w:cstheme="majorBidi"/>
                <w:b/>
                <w:bCs/>
                <w:sz w:val="18"/>
                <w:szCs w:val="18"/>
              </w:rPr>
            </w:pPr>
          </w:p>
        </w:tc>
        <w:tc>
          <w:tcPr>
            <w:tcW w:w="630" w:type="dxa"/>
          </w:tcPr>
          <w:p w14:paraId="6C123979" w14:textId="77777777" w:rsidR="00EC66C7" w:rsidRPr="00321931" w:rsidRDefault="00EC66C7" w:rsidP="003772B6">
            <w:pPr>
              <w:spacing w:line="276" w:lineRule="auto"/>
              <w:jc w:val="both"/>
              <w:rPr>
                <w:rFonts w:ascii="Palatino Linotype" w:hAnsi="Palatino Linotype" w:cstheme="majorBidi"/>
              </w:rPr>
            </w:pPr>
          </w:p>
        </w:tc>
        <w:tc>
          <w:tcPr>
            <w:tcW w:w="540" w:type="dxa"/>
          </w:tcPr>
          <w:p w14:paraId="1233C0AF" w14:textId="77777777" w:rsidR="00EC66C7" w:rsidRPr="00321931" w:rsidRDefault="00EC66C7" w:rsidP="003772B6">
            <w:pPr>
              <w:spacing w:line="276" w:lineRule="auto"/>
              <w:jc w:val="both"/>
              <w:rPr>
                <w:rFonts w:ascii="Palatino Linotype" w:hAnsi="Palatino Linotype" w:cstheme="majorBidi"/>
              </w:rPr>
            </w:pPr>
            <w:r w:rsidRPr="00321931">
              <w:rPr>
                <w:rFonts w:ascii="Palatino Linotype" w:hAnsi="Palatino Linotype" w:cstheme="majorBidi"/>
              </w:rPr>
              <w:t>(a)</w:t>
            </w:r>
          </w:p>
        </w:tc>
        <w:tc>
          <w:tcPr>
            <w:tcW w:w="6030" w:type="dxa"/>
            <w:gridSpan w:val="4"/>
          </w:tcPr>
          <w:p w14:paraId="6673B870" w14:textId="77777777" w:rsidR="00EC66C7" w:rsidRPr="00321931" w:rsidRDefault="00CB5AB5"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w:t>
            </w:r>
            <w:r w:rsidR="00816BA0" w:rsidRPr="00321931">
              <w:rPr>
                <w:rFonts w:ascii="Palatino Linotype" w:hAnsi="Palatino Linotype" w:cstheme="majorBidi"/>
              </w:rPr>
              <w:t>chart</w:t>
            </w:r>
            <w:r w:rsidRPr="00321931">
              <w:rPr>
                <w:rFonts w:ascii="Palatino Linotype" w:hAnsi="Palatino Linotype" w:cstheme="majorBidi"/>
              </w:rPr>
              <w:t xml:space="preserve"> illustrating the group’s worldwide organizational structure that shows</w:t>
            </w:r>
            <w:r w:rsidR="001A3D4A" w:rsidRPr="00321931">
              <w:rPr>
                <w:rFonts w:ascii="Palatino Linotype" w:hAnsi="Palatino Linotype" w:cstheme="majorBidi"/>
              </w:rPr>
              <w:t xml:space="preserve"> parties in the group with</w:t>
            </w:r>
            <w:r w:rsidRPr="00321931">
              <w:rPr>
                <w:rFonts w:ascii="Palatino Linotype" w:hAnsi="Palatino Linotype" w:cstheme="majorBidi"/>
              </w:rPr>
              <w:t xml:space="preserve"> the</w:t>
            </w:r>
            <w:r w:rsidR="001A3D4A" w:rsidRPr="00321931">
              <w:rPr>
                <w:rFonts w:ascii="Palatino Linotype" w:hAnsi="Palatino Linotype" w:cstheme="majorBidi"/>
              </w:rPr>
              <w:t>ir</w:t>
            </w:r>
            <w:r w:rsidRPr="00321931">
              <w:rPr>
                <w:rFonts w:ascii="Palatino Linotype" w:hAnsi="Palatino Linotype" w:cstheme="majorBidi"/>
              </w:rPr>
              <w:t xml:space="preserve"> geographic location</w:t>
            </w:r>
            <w:r w:rsidR="001A3D4A" w:rsidRPr="00321931">
              <w:rPr>
                <w:rFonts w:ascii="Palatino Linotype" w:hAnsi="Palatino Linotype" w:cstheme="majorBidi"/>
              </w:rPr>
              <w:t>,</w:t>
            </w:r>
            <w:r w:rsidRPr="00321931">
              <w:rPr>
                <w:rFonts w:ascii="Palatino Linotype" w:hAnsi="Palatino Linotype" w:cstheme="majorBidi"/>
              </w:rPr>
              <w:t xml:space="preserve"> and ownership and legal linkages among all </w:t>
            </w:r>
            <w:r w:rsidR="004E7C92" w:rsidRPr="00321931">
              <w:rPr>
                <w:rFonts w:ascii="Palatino Linotype" w:hAnsi="Palatino Linotype" w:cstheme="majorBidi"/>
              </w:rPr>
              <w:t xml:space="preserve">associated </w:t>
            </w:r>
            <w:r w:rsidRPr="00321931">
              <w:rPr>
                <w:rFonts w:ascii="Palatino Linotype" w:hAnsi="Palatino Linotype" w:cstheme="majorBidi"/>
              </w:rPr>
              <w:t xml:space="preserve">parties of the </w:t>
            </w:r>
            <w:proofErr w:type="gramStart"/>
            <w:r w:rsidRPr="00321931">
              <w:rPr>
                <w:rFonts w:ascii="Palatino Linotype" w:hAnsi="Palatino Linotype" w:cstheme="majorBidi"/>
              </w:rPr>
              <w:t>group;</w:t>
            </w:r>
            <w:proofErr w:type="gramEnd"/>
          </w:p>
          <w:p w14:paraId="007789BE" w14:textId="77777777" w:rsidR="00CB5AB5" w:rsidRPr="00321931" w:rsidRDefault="00CB5AB5" w:rsidP="00EC66C7">
            <w:pPr>
              <w:jc w:val="both"/>
              <w:rPr>
                <w:rFonts w:ascii="Palatino Linotype" w:hAnsi="Palatino Linotype" w:cstheme="majorBidi"/>
              </w:rPr>
            </w:pPr>
          </w:p>
        </w:tc>
      </w:tr>
      <w:tr w:rsidR="00415A84" w:rsidRPr="00321931" w14:paraId="7C89F19C" w14:textId="77777777" w:rsidTr="007E3C0D">
        <w:tc>
          <w:tcPr>
            <w:tcW w:w="1890" w:type="dxa"/>
          </w:tcPr>
          <w:p w14:paraId="68A863AC" w14:textId="1996FF7D" w:rsidR="00CB5AB5" w:rsidRPr="00483ED7" w:rsidRDefault="00FE3498" w:rsidP="003772B6">
            <w:pPr>
              <w:spacing w:line="276" w:lineRule="auto"/>
              <w:rPr>
                <w:rFonts w:ascii="Palatino Linotype" w:hAnsi="Palatino Linotype" w:cstheme="majorBidi"/>
                <w:b/>
                <w:bCs/>
                <w:sz w:val="18"/>
                <w:szCs w:val="18"/>
              </w:rPr>
            </w:pPr>
            <w:r w:rsidRPr="00483ED7">
              <w:rPr>
                <w:rFonts w:ascii="Palatino Linotype" w:hAnsi="Palatino Linotype" w:cstheme="majorBidi"/>
                <w:b/>
                <w:bCs/>
                <w:sz w:val="18"/>
                <w:szCs w:val="18"/>
              </w:rPr>
              <w:t>Description of</w:t>
            </w:r>
            <w:r w:rsidR="00114DAC" w:rsidRPr="00483ED7">
              <w:rPr>
                <w:rFonts w:ascii="Palatino Linotype" w:hAnsi="Palatino Linotype" w:cstheme="majorBidi"/>
                <w:b/>
                <w:bCs/>
                <w:sz w:val="18"/>
                <w:szCs w:val="18"/>
              </w:rPr>
              <w:t xml:space="preserve"> the group’s</w:t>
            </w:r>
            <w:r w:rsidR="00571336" w:rsidRPr="00483ED7">
              <w:rPr>
                <w:rFonts w:ascii="Palatino Linotype" w:hAnsi="Palatino Linotype" w:cstheme="majorBidi"/>
                <w:b/>
                <w:bCs/>
                <w:sz w:val="18"/>
                <w:szCs w:val="18"/>
              </w:rPr>
              <w:t xml:space="preserve"> business</w:t>
            </w:r>
          </w:p>
        </w:tc>
        <w:tc>
          <w:tcPr>
            <w:tcW w:w="630" w:type="dxa"/>
          </w:tcPr>
          <w:p w14:paraId="1F04BCE6" w14:textId="77777777" w:rsidR="00CB5AB5" w:rsidRPr="00321931" w:rsidRDefault="00CB5AB5" w:rsidP="003772B6">
            <w:pPr>
              <w:spacing w:line="276" w:lineRule="auto"/>
              <w:jc w:val="both"/>
              <w:rPr>
                <w:rFonts w:ascii="Palatino Linotype" w:hAnsi="Palatino Linotype" w:cstheme="majorBidi"/>
              </w:rPr>
            </w:pPr>
          </w:p>
        </w:tc>
        <w:tc>
          <w:tcPr>
            <w:tcW w:w="540" w:type="dxa"/>
          </w:tcPr>
          <w:p w14:paraId="13CF7E00" w14:textId="77777777" w:rsidR="00CB5AB5" w:rsidRPr="00321931" w:rsidRDefault="00CB5AB5" w:rsidP="003772B6">
            <w:pPr>
              <w:spacing w:line="276" w:lineRule="auto"/>
              <w:jc w:val="both"/>
              <w:rPr>
                <w:rFonts w:ascii="Palatino Linotype" w:hAnsi="Palatino Linotype" w:cstheme="majorBidi"/>
              </w:rPr>
            </w:pPr>
            <w:r w:rsidRPr="00321931">
              <w:rPr>
                <w:rFonts w:ascii="Palatino Linotype" w:hAnsi="Palatino Linotype" w:cstheme="majorBidi"/>
              </w:rPr>
              <w:t>(b)</w:t>
            </w:r>
          </w:p>
        </w:tc>
        <w:tc>
          <w:tcPr>
            <w:tcW w:w="6030" w:type="dxa"/>
            <w:gridSpan w:val="4"/>
          </w:tcPr>
          <w:p w14:paraId="1A21938E" w14:textId="6451374A" w:rsidR="00CB5AB5" w:rsidRPr="00321931" w:rsidRDefault="00CB5AB5" w:rsidP="003772B6">
            <w:pPr>
              <w:spacing w:line="276" w:lineRule="auto"/>
              <w:jc w:val="both"/>
              <w:rPr>
                <w:rFonts w:ascii="Palatino Linotype" w:hAnsi="Palatino Linotype" w:cstheme="majorBidi"/>
              </w:rPr>
            </w:pPr>
            <w:r w:rsidRPr="00483ED7">
              <w:rPr>
                <w:rFonts w:ascii="Palatino Linotype" w:hAnsi="Palatino Linotype" w:cstheme="majorBidi"/>
                <w:highlight w:val="cyan"/>
              </w:rPr>
              <w:t xml:space="preserve">A description of the group’s businesses </w:t>
            </w:r>
            <w:r w:rsidR="00835010" w:rsidRPr="00483ED7">
              <w:rPr>
                <w:rFonts w:ascii="Palatino Linotype" w:hAnsi="Palatino Linotype" w:cstheme="majorBidi"/>
                <w:highlight w:val="cyan"/>
              </w:rPr>
              <w:t>in the accounting period</w:t>
            </w:r>
            <w:r w:rsidRPr="00483ED7">
              <w:rPr>
                <w:rFonts w:ascii="Palatino Linotype" w:hAnsi="Palatino Linotype" w:cstheme="majorBidi"/>
                <w:highlight w:val="cyan"/>
              </w:rPr>
              <w:t>, including:</w:t>
            </w:r>
          </w:p>
          <w:p w14:paraId="152661FD" w14:textId="77777777" w:rsidR="00CB5AB5" w:rsidRPr="00321931" w:rsidRDefault="00CB5AB5" w:rsidP="00CB5AB5">
            <w:pPr>
              <w:jc w:val="both"/>
              <w:rPr>
                <w:rFonts w:ascii="Palatino Linotype" w:hAnsi="Palatino Linotype" w:cstheme="majorBidi"/>
              </w:rPr>
            </w:pPr>
          </w:p>
        </w:tc>
      </w:tr>
      <w:tr w:rsidR="00415A84" w:rsidRPr="00321931" w14:paraId="7AE9EA02" w14:textId="77777777" w:rsidTr="007E3C0D">
        <w:tc>
          <w:tcPr>
            <w:tcW w:w="1890" w:type="dxa"/>
          </w:tcPr>
          <w:p w14:paraId="5306F18B" w14:textId="77777777" w:rsidR="00CB5AB5" w:rsidRPr="00321931" w:rsidRDefault="00CB5AB5" w:rsidP="003772B6">
            <w:pPr>
              <w:spacing w:line="276" w:lineRule="auto"/>
              <w:jc w:val="both"/>
              <w:rPr>
                <w:rFonts w:ascii="Palatino Linotype" w:hAnsi="Palatino Linotype" w:cstheme="majorBidi"/>
                <w:b/>
                <w:bCs/>
              </w:rPr>
            </w:pPr>
          </w:p>
        </w:tc>
        <w:tc>
          <w:tcPr>
            <w:tcW w:w="630" w:type="dxa"/>
          </w:tcPr>
          <w:p w14:paraId="4C6D55B6" w14:textId="77777777" w:rsidR="00CB5AB5" w:rsidRPr="00321931" w:rsidRDefault="00CB5AB5" w:rsidP="003772B6">
            <w:pPr>
              <w:spacing w:line="276" w:lineRule="auto"/>
              <w:jc w:val="both"/>
              <w:rPr>
                <w:rFonts w:ascii="Palatino Linotype" w:hAnsi="Palatino Linotype" w:cstheme="majorBidi"/>
              </w:rPr>
            </w:pPr>
          </w:p>
        </w:tc>
        <w:tc>
          <w:tcPr>
            <w:tcW w:w="540" w:type="dxa"/>
          </w:tcPr>
          <w:p w14:paraId="197DF665" w14:textId="77777777" w:rsidR="00CB5AB5" w:rsidRPr="00321931" w:rsidRDefault="00CB5AB5" w:rsidP="003772B6">
            <w:pPr>
              <w:spacing w:line="276" w:lineRule="auto"/>
              <w:jc w:val="both"/>
              <w:rPr>
                <w:rFonts w:ascii="Palatino Linotype" w:hAnsi="Palatino Linotype" w:cstheme="majorBidi"/>
              </w:rPr>
            </w:pPr>
          </w:p>
        </w:tc>
        <w:tc>
          <w:tcPr>
            <w:tcW w:w="630" w:type="dxa"/>
          </w:tcPr>
          <w:p w14:paraId="10623AEA" w14:textId="77777777" w:rsidR="00CB5AB5" w:rsidRPr="00321931" w:rsidRDefault="00CB5AB5" w:rsidP="003772B6">
            <w:pPr>
              <w:spacing w:line="276" w:lineRule="auto"/>
              <w:jc w:val="both"/>
              <w:rPr>
                <w:rFonts w:ascii="Palatino Linotype" w:hAnsi="Palatino Linotype" w:cstheme="majorBidi"/>
              </w:rPr>
            </w:pPr>
            <w:r w:rsidRPr="00321931">
              <w:rPr>
                <w:rFonts w:ascii="Palatino Linotype" w:hAnsi="Palatino Linotype" w:cstheme="majorBidi"/>
              </w:rPr>
              <w:t>(1)</w:t>
            </w:r>
          </w:p>
          <w:p w14:paraId="237ADBA8" w14:textId="77777777" w:rsidR="00CB5AB5" w:rsidRPr="00321931" w:rsidRDefault="00CB5AB5" w:rsidP="003772B6">
            <w:pPr>
              <w:spacing w:line="276" w:lineRule="auto"/>
              <w:jc w:val="both"/>
              <w:rPr>
                <w:rFonts w:ascii="Palatino Linotype" w:hAnsi="Palatino Linotype" w:cstheme="majorBidi"/>
              </w:rPr>
            </w:pPr>
          </w:p>
        </w:tc>
        <w:tc>
          <w:tcPr>
            <w:tcW w:w="5400" w:type="dxa"/>
            <w:gridSpan w:val="3"/>
          </w:tcPr>
          <w:p w14:paraId="3B497BCC" w14:textId="77777777" w:rsidR="00CB5AB5" w:rsidRPr="00321931" w:rsidRDefault="00736F84" w:rsidP="003772B6">
            <w:pPr>
              <w:spacing w:line="276" w:lineRule="auto"/>
              <w:jc w:val="both"/>
              <w:rPr>
                <w:rFonts w:ascii="Palatino Linotype" w:hAnsi="Palatino Linotype" w:cstheme="majorBidi"/>
              </w:rPr>
            </w:pPr>
            <w:r w:rsidRPr="00321931">
              <w:rPr>
                <w:rFonts w:ascii="Palatino Linotype" w:hAnsi="Palatino Linotype" w:cstheme="majorBidi"/>
              </w:rPr>
              <w:t xml:space="preserve">information </w:t>
            </w:r>
            <w:r w:rsidR="00CB5AB5" w:rsidRPr="00321931">
              <w:rPr>
                <w:rFonts w:ascii="Palatino Linotype" w:hAnsi="Palatino Linotype" w:cstheme="majorBidi"/>
              </w:rPr>
              <w:t xml:space="preserve">of the group’s businesses, products and services, geographic markets and key </w:t>
            </w:r>
            <w:proofErr w:type="gramStart"/>
            <w:r w:rsidR="00CB5AB5" w:rsidRPr="00321931">
              <w:rPr>
                <w:rFonts w:ascii="Palatino Linotype" w:hAnsi="Palatino Linotype" w:cstheme="majorBidi"/>
              </w:rPr>
              <w:t>competitors;</w:t>
            </w:r>
            <w:proofErr w:type="gramEnd"/>
          </w:p>
          <w:p w14:paraId="0D1F0AB1" w14:textId="77777777" w:rsidR="00CB5AB5" w:rsidRPr="00321931" w:rsidRDefault="00CB5AB5" w:rsidP="003772B6">
            <w:pPr>
              <w:spacing w:line="276" w:lineRule="auto"/>
              <w:jc w:val="both"/>
              <w:rPr>
                <w:rFonts w:ascii="Palatino Linotype" w:hAnsi="Palatino Linotype" w:cstheme="majorBidi"/>
              </w:rPr>
            </w:pPr>
          </w:p>
        </w:tc>
      </w:tr>
      <w:tr w:rsidR="00415A84" w:rsidRPr="00321931" w14:paraId="18B4D808" w14:textId="77777777" w:rsidTr="007E3C0D">
        <w:tc>
          <w:tcPr>
            <w:tcW w:w="1890" w:type="dxa"/>
          </w:tcPr>
          <w:p w14:paraId="7AC35A64" w14:textId="77777777" w:rsidR="00CB5AB5" w:rsidRPr="00321931" w:rsidRDefault="00CB5AB5" w:rsidP="003772B6">
            <w:pPr>
              <w:spacing w:line="276" w:lineRule="auto"/>
              <w:jc w:val="both"/>
              <w:rPr>
                <w:rFonts w:ascii="Palatino Linotype" w:hAnsi="Palatino Linotype" w:cstheme="majorBidi"/>
                <w:b/>
                <w:bCs/>
              </w:rPr>
            </w:pPr>
          </w:p>
        </w:tc>
        <w:tc>
          <w:tcPr>
            <w:tcW w:w="630" w:type="dxa"/>
          </w:tcPr>
          <w:p w14:paraId="336F9E59" w14:textId="77777777" w:rsidR="00CB5AB5" w:rsidRPr="00321931" w:rsidRDefault="00CB5AB5" w:rsidP="003772B6">
            <w:pPr>
              <w:spacing w:line="276" w:lineRule="auto"/>
              <w:jc w:val="both"/>
              <w:rPr>
                <w:rFonts w:ascii="Palatino Linotype" w:hAnsi="Palatino Linotype" w:cstheme="majorBidi"/>
              </w:rPr>
            </w:pPr>
          </w:p>
        </w:tc>
        <w:tc>
          <w:tcPr>
            <w:tcW w:w="540" w:type="dxa"/>
          </w:tcPr>
          <w:p w14:paraId="5C1A8516" w14:textId="77777777" w:rsidR="00CB5AB5" w:rsidRPr="00321931" w:rsidRDefault="00CB5AB5" w:rsidP="003772B6">
            <w:pPr>
              <w:spacing w:line="276" w:lineRule="auto"/>
              <w:jc w:val="both"/>
              <w:rPr>
                <w:rFonts w:ascii="Palatino Linotype" w:hAnsi="Palatino Linotype" w:cstheme="majorBidi"/>
              </w:rPr>
            </w:pPr>
          </w:p>
        </w:tc>
        <w:tc>
          <w:tcPr>
            <w:tcW w:w="630" w:type="dxa"/>
          </w:tcPr>
          <w:p w14:paraId="00708526" w14:textId="77777777" w:rsidR="00CB5AB5" w:rsidRPr="00321931" w:rsidRDefault="00CB5AB5" w:rsidP="003772B6">
            <w:pPr>
              <w:spacing w:line="276" w:lineRule="auto"/>
              <w:jc w:val="both"/>
              <w:rPr>
                <w:rFonts w:ascii="Palatino Linotype" w:hAnsi="Palatino Linotype" w:cstheme="majorBidi"/>
              </w:rPr>
            </w:pPr>
            <w:r w:rsidRPr="00321931">
              <w:rPr>
                <w:rFonts w:ascii="Palatino Linotype" w:hAnsi="Palatino Linotype" w:cstheme="majorBidi"/>
              </w:rPr>
              <w:t>(2)</w:t>
            </w:r>
          </w:p>
        </w:tc>
        <w:tc>
          <w:tcPr>
            <w:tcW w:w="5400" w:type="dxa"/>
            <w:gridSpan w:val="3"/>
          </w:tcPr>
          <w:p w14:paraId="77B0A259" w14:textId="77777777" w:rsidR="00CB5AB5" w:rsidRPr="00321931" w:rsidRDefault="00736F84"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w:t>
            </w:r>
            <w:r w:rsidR="00CB5AB5" w:rsidRPr="00321931">
              <w:rPr>
                <w:rFonts w:ascii="Palatino Linotype" w:hAnsi="Palatino Linotype" w:cstheme="majorBidi"/>
              </w:rPr>
              <w:t xml:space="preserve">description of the supply chains of those businesses, products and </w:t>
            </w:r>
            <w:proofErr w:type="gramStart"/>
            <w:r w:rsidR="00CB5AB5" w:rsidRPr="00321931">
              <w:rPr>
                <w:rFonts w:ascii="Palatino Linotype" w:hAnsi="Palatino Linotype" w:cstheme="majorBidi"/>
              </w:rPr>
              <w:t>services;</w:t>
            </w:r>
            <w:proofErr w:type="gramEnd"/>
          </w:p>
          <w:p w14:paraId="4E511C3B" w14:textId="77777777" w:rsidR="00CB5AB5" w:rsidRPr="00321931" w:rsidRDefault="00CB5AB5" w:rsidP="003772B6">
            <w:pPr>
              <w:spacing w:line="276" w:lineRule="auto"/>
              <w:jc w:val="both"/>
              <w:rPr>
                <w:rFonts w:ascii="Palatino Linotype" w:hAnsi="Palatino Linotype" w:cstheme="majorBidi"/>
              </w:rPr>
            </w:pPr>
          </w:p>
        </w:tc>
      </w:tr>
      <w:tr w:rsidR="00415A84" w:rsidRPr="00321931" w14:paraId="0A667CE7" w14:textId="77777777" w:rsidTr="007E3C0D">
        <w:tc>
          <w:tcPr>
            <w:tcW w:w="1890" w:type="dxa"/>
          </w:tcPr>
          <w:p w14:paraId="6CD06127" w14:textId="77777777" w:rsidR="00CB5AB5" w:rsidRPr="00321931" w:rsidRDefault="00CB5AB5" w:rsidP="003772B6">
            <w:pPr>
              <w:spacing w:line="276" w:lineRule="auto"/>
              <w:jc w:val="both"/>
              <w:rPr>
                <w:rFonts w:ascii="Palatino Linotype" w:hAnsi="Palatino Linotype" w:cstheme="majorBidi"/>
                <w:b/>
                <w:bCs/>
              </w:rPr>
            </w:pPr>
          </w:p>
        </w:tc>
        <w:tc>
          <w:tcPr>
            <w:tcW w:w="630" w:type="dxa"/>
          </w:tcPr>
          <w:p w14:paraId="112C027E" w14:textId="77777777" w:rsidR="00CB5AB5" w:rsidRPr="00321931" w:rsidRDefault="00CB5AB5" w:rsidP="003772B6">
            <w:pPr>
              <w:spacing w:line="276" w:lineRule="auto"/>
              <w:jc w:val="both"/>
              <w:rPr>
                <w:rFonts w:ascii="Palatino Linotype" w:hAnsi="Palatino Linotype" w:cstheme="majorBidi"/>
              </w:rPr>
            </w:pPr>
          </w:p>
        </w:tc>
        <w:tc>
          <w:tcPr>
            <w:tcW w:w="540" w:type="dxa"/>
          </w:tcPr>
          <w:p w14:paraId="60684FD9" w14:textId="77777777" w:rsidR="00CB5AB5" w:rsidRPr="00321931" w:rsidRDefault="00CB5AB5" w:rsidP="003772B6">
            <w:pPr>
              <w:spacing w:line="276" w:lineRule="auto"/>
              <w:jc w:val="both"/>
              <w:rPr>
                <w:rFonts w:ascii="Palatino Linotype" w:hAnsi="Palatino Linotype" w:cstheme="majorBidi"/>
              </w:rPr>
            </w:pPr>
          </w:p>
        </w:tc>
        <w:tc>
          <w:tcPr>
            <w:tcW w:w="630" w:type="dxa"/>
          </w:tcPr>
          <w:p w14:paraId="1CCC1AE4" w14:textId="77777777" w:rsidR="00CB5AB5" w:rsidRPr="00321931" w:rsidRDefault="00CB5AB5" w:rsidP="003772B6">
            <w:pPr>
              <w:spacing w:line="276" w:lineRule="auto"/>
              <w:jc w:val="both"/>
              <w:rPr>
                <w:rFonts w:ascii="Palatino Linotype" w:hAnsi="Palatino Linotype" w:cstheme="majorBidi"/>
              </w:rPr>
            </w:pPr>
            <w:r w:rsidRPr="00321931">
              <w:rPr>
                <w:rFonts w:ascii="Palatino Linotype" w:hAnsi="Palatino Linotype" w:cstheme="majorBidi"/>
              </w:rPr>
              <w:t>(3)</w:t>
            </w:r>
          </w:p>
        </w:tc>
        <w:tc>
          <w:tcPr>
            <w:tcW w:w="5400" w:type="dxa"/>
            <w:gridSpan w:val="3"/>
          </w:tcPr>
          <w:p w14:paraId="5D30553F" w14:textId="77777777" w:rsidR="00CB5AB5"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group’s business models and </w:t>
            </w:r>
            <w:proofErr w:type="gramStart"/>
            <w:r w:rsidRPr="00321931">
              <w:rPr>
                <w:rFonts w:ascii="Palatino Linotype" w:hAnsi="Palatino Linotype" w:cstheme="majorBidi"/>
              </w:rPr>
              <w:t>strategies;</w:t>
            </w:r>
            <w:proofErr w:type="gramEnd"/>
          </w:p>
          <w:p w14:paraId="22434979"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28E89224" w14:textId="77777777" w:rsidTr="007E3C0D">
        <w:tc>
          <w:tcPr>
            <w:tcW w:w="1890" w:type="dxa"/>
          </w:tcPr>
          <w:p w14:paraId="18D26A82" w14:textId="77777777" w:rsidR="00F35E76" w:rsidRPr="00321931" w:rsidRDefault="00F35E76" w:rsidP="003772B6">
            <w:pPr>
              <w:spacing w:line="276" w:lineRule="auto"/>
              <w:jc w:val="both"/>
              <w:rPr>
                <w:rFonts w:ascii="Palatino Linotype" w:hAnsi="Palatino Linotype" w:cstheme="majorBidi"/>
                <w:b/>
                <w:bCs/>
              </w:rPr>
            </w:pPr>
          </w:p>
        </w:tc>
        <w:tc>
          <w:tcPr>
            <w:tcW w:w="630" w:type="dxa"/>
          </w:tcPr>
          <w:p w14:paraId="5B4CC6BB"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2B70D50B"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22A9CA0F"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(4)</w:t>
            </w:r>
          </w:p>
        </w:tc>
        <w:tc>
          <w:tcPr>
            <w:tcW w:w="5400" w:type="dxa"/>
            <w:gridSpan w:val="3"/>
          </w:tcPr>
          <w:p w14:paraId="66B96ABA" w14:textId="77777777" w:rsidR="00F35E76" w:rsidRPr="00321931" w:rsidRDefault="00736F84"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w:t>
            </w:r>
            <w:r w:rsidR="00F35E76" w:rsidRPr="00321931">
              <w:rPr>
                <w:rFonts w:ascii="Palatino Linotype" w:hAnsi="Palatino Linotype" w:cstheme="majorBidi"/>
              </w:rPr>
              <w:t xml:space="preserve">“business drivers” of the </w:t>
            </w:r>
            <w:proofErr w:type="gramStart"/>
            <w:r w:rsidR="00F35E76" w:rsidRPr="00321931">
              <w:rPr>
                <w:rFonts w:ascii="Palatino Linotype" w:hAnsi="Palatino Linotype" w:cstheme="majorBidi"/>
              </w:rPr>
              <w:t>group;</w:t>
            </w:r>
            <w:proofErr w:type="gramEnd"/>
          </w:p>
          <w:p w14:paraId="72405422"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4E13A17B" w14:textId="77777777" w:rsidTr="007E3C0D">
        <w:tc>
          <w:tcPr>
            <w:tcW w:w="1890" w:type="dxa"/>
          </w:tcPr>
          <w:p w14:paraId="7D3B373B" w14:textId="77777777" w:rsidR="00F35E76" w:rsidRPr="00321931" w:rsidRDefault="00F35E76" w:rsidP="003772B6">
            <w:pPr>
              <w:spacing w:line="276" w:lineRule="auto"/>
              <w:jc w:val="both"/>
              <w:rPr>
                <w:rFonts w:ascii="Palatino Linotype" w:hAnsi="Palatino Linotype" w:cstheme="majorBidi"/>
                <w:b/>
                <w:bCs/>
              </w:rPr>
            </w:pPr>
          </w:p>
        </w:tc>
        <w:tc>
          <w:tcPr>
            <w:tcW w:w="630" w:type="dxa"/>
          </w:tcPr>
          <w:p w14:paraId="63C2CF90"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43A1AE57"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2CAA1014"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(5)</w:t>
            </w:r>
          </w:p>
        </w:tc>
        <w:tc>
          <w:tcPr>
            <w:tcW w:w="5400" w:type="dxa"/>
            <w:gridSpan w:val="3"/>
          </w:tcPr>
          <w:p w14:paraId="1337AC41"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industry, market, regulatory and economic conditions in which the group </w:t>
            </w:r>
            <w:proofErr w:type="gramStart"/>
            <w:r w:rsidRPr="00321931">
              <w:rPr>
                <w:rFonts w:ascii="Palatino Linotype" w:hAnsi="Palatino Linotype" w:cstheme="majorBidi"/>
              </w:rPr>
              <w:t>operates;</w:t>
            </w:r>
            <w:proofErr w:type="gramEnd"/>
          </w:p>
          <w:p w14:paraId="59D7FD0C"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1A2C7AD4" w14:textId="77777777" w:rsidTr="007E3C0D">
        <w:tc>
          <w:tcPr>
            <w:tcW w:w="1890" w:type="dxa"/>
          </w:tcPr>
          <w:p w14:paraId="6226C9A4" w14:textId="77777777" w:rsidR="00F35E76" w:rsidRPr="00321931" w:rsidRDefault="00F35E76" w:rsidP="003772B6">
            <w:pPr>
              <w:spacing w:line="276" w:lineRule="auto"/>
              <w:jc w:val="both"/>
              <w:rPr>
                <w:rFonts w:ascii="Palatino Linotype" w:hAnsi="Palatino Linotype" w:cstheme="majorBidi"/>
                <w:b/>
                <w:bCs/>
              </w:rPr>
            </w:pPr>
          </w:p>
        </w:tc>
        <w:tc>
          <w:tcPr>
            <w:tcW w:w="630" w:type="dxa"/>
          </w:tcPr>
          <w:p w14:paraId="0512903E"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34345113"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5617025E"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(6)</w:t>
            </w:r>
          </w:p>
        </w:tc>
        <w:tc>
          <w:tcPr>
            <w:tcW w:w="5400" w:type="dxa"/>
            <w:gridSpan w:val="3"/>
          </w:tcPr>
          <w:p w14:paraId="4BC2C064"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business activities of each entity in the group and the functional analysis describing their value adding contributions, including functions performed, assets used and risks </w:t>
            </w:r>
            <w:proofErr w:type="gramStart"/>
            <w:r w:rsidRPr="00321931">
              <w:rPr>
                <w:rFonts w:ascii="Palatino Linotype" w:hAnsi="Palatino Linotype" w:cstheme="majorBidi"/>
              </w:rPr>
              <w:t>assumed;</w:t>
            </w:r>
            <w:proofErr w:type="gramEnd"/>
          </w:p>
          <w:p w14:paraId="095B99EB"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2B85A8A2" w14:textId="77777777" w:rsidTr="007E3C0D">
        <w:tc>
          <w:tcPr>
            <w:tcW w:w="1890" w:type="dxa"/>
          </w:tcPr>
          <w:p w14:paraId="3770E22B" w14:textId="77777777" w:rsidR="00F35E76" w:rsidRPr="00321931" w:rsidRDefault="00F35E76" w:rsidP="003772B6">
            <w:pPr>
              <w:spacing w:line="276" w:lineRule="auto"/>
              <w:jc w:val="both"/>
              <w:rPr>
                <w:rFonts w:ascii="Palatino Linotype" w:hAnsi="Palatino Linotype" w:cstheme="majorBidi"/>
                <w:b/>
                <w:bCs/>
              </w:rPr>
            </w:pPr>
          </w:p>
        </w:tc>
        <w:tc>
          <w:tcPr>
            <w:tcW w:w="630" w:type="dxa"/>
          </w:tcPr>
          <w:p w14:paraId="00A16C95"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4BCF4541"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69A0A022"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(7)</w:t>
            </w:r>
          </w:p>
        </w:tc>
        <w:tc>
          <w:tcPr>
            <w:tcW w:w="5400" w:type="dxa"/>
            <w:gridSpan w:val="3"/>
          </w:tcPr>
          <w:p w14:paraId="522C35A2"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 xml:space="preserve">changes to the group’s structure through restructuring, </w:t>
            </w:r>
            <w:proofErr w:type="gramStart"/>
            <w:r w:rsidRPr="00321931">
              <w:rPr>
                <w:rFonts w:ascii="Palatino Linotype" w:hAnsi="Palatino Linotype" w:cstheme="majorBidi"/>
              </w:rPr>
              <w:t>acquisition</w:t>
            </w:r>
            <w:proofErr w:type="gramEnd"/>
            <w:r w:rsidRPr="00321931">
              <w:rPr>
                <w:rFonts w:ascii="Palatino Linotype" w:hAnsi="Palatino Linotype" w:cstheme="majorBidi"/>
              </w:rPr>
              <w:t xml:space="preserve"> or divestiture</w:t>
            </w:r>
            <w:r w:rsidR="00F979E4" w:rsidRPr="00321931">
              <w:rPr>
                <w:rFonts w:ascii="Palatino Linotype" w:hAnsi="Palatino Linotype" w:cstheme="majorBidi"/>
              </w:rPr>
              <w:t>.</w:t>
            </w:r>
          </w:p>
          <w:p w14:paraId="0512564E"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10C9239E" w14:textId="77777777" w:rsidTr="007E3C0D">
        <w:tc>
          <w:tcPr>
            <w:tcW w:w="1890" w:type="dxa"/>
          </w:tcPr>
          <w:p w14:paraId="41A30E77" w14:textId="77777777" w:rsidR="00F35E76" w:rsidRPr="00933C7D" w:rsidRDefault="00571336" w:rsidP="003772B6">
            <w:pPr>
              <w:spacing w:line="276" w:lineRule="auto"/>
              <w:rPr>
                <w:rFonts w:ascii="Palatino Linotype" w:hAnsi="Palatino Linotype" w:cstheme="majorBidi"/>
                <w:b/>
                <w:bCs/>
                <w:sz w:val="18"/>
                <w:szCs w:val="18"/>
              </w:rPr>
            </w:pPr>
            <w:r w:rsidRPr="00933C7D">
              <w:rPr>
                <w:rFonts w:ascii="Palatino Linotype" w:hAnsi="Palatino Linotype" w:cstheme="majorBidi"/>
                <w:b/>
                <w:bCs/>
                <w:sz w:val="18"/>
                <w:szCs w:val="18"/>
              </w:rPr>
              <w:t>Group’s intangibles</w:t>
            </w:r>
          </w:p>
        </w:tc>
        <w:tc>
          <w:tcPr>
            <w:tcW w:w="630" w:type="dxa"/>
          </w:tcPr>
          <w:p w14:paraId="276ECD3D"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60C4671D"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(c)</w:t>
            </w:r>
          </w:p>
        </w:tc>
        <w:tc>
          <w:tcPr>
            <w:tcW w:w="6030" w:type="dxa"/>
            <w:gridSpan w:val="4"/>
          </w:tcPr>
          <w:p w14:paraId="69B4A816" w14:textId="1AC2EBA6" w:rsidR="00F35E76" w:rsidRPr="00321931" w:rsidRDefault="00F35E76" w:rsidP="003772B6">
            <w:pPr>
              <w:spacing w:line="276" w:lineRule="auto"/>
              <w:jc w:val="both"/>
              <w:rPr>
                <w:rFonts w:ascii="Palatino Linotype" w:hAnsi="Palatino Linotype" w:cstheme="majorBidi"/>
              </w:rPr>
            </w:pPr>
            <w:r w:rsidRPr="00483ED7">
              <w:rPr>
                <w:rFonts w:ascii="Palatino Linotype" w:hAnsi="Palatino Linotype" w:cstheme="majorBidi"/>
                <w:highlight w:val="cyan"/>
              </w:rPr>
              <w:t>A description of the group’s intangible assets, including</w:t>
            </w:r>
            <w:r w:rsidRPr="00321931">
              <w:rPr>
                <w:rFonts w:ascii="Palatino Linotype" w:hAnsi="Palatino Linotype" w:cstheme="majorBidi"/>
              </w:rPr>
              <w:t>:</w:t>
            </w:r>
          </w:p>
          <w:p w14:paraId="52A14B0D" w14:textId="77777777" w:rsidR="00571336" w:rsidRPr="00321931" w:rsidRDefault="00571336" w:rsidP="00F35E76">
            <w:pPr>
              <w:jc w:val="both"/>
              <w:rPr>
                <w:rFonts w:ascii="Palatino Linotype" w:hAnsi="Palatino Linotype" w:cstheme="majorBidi"/>
              </w:rPr>
            </w:pPr>
          </w:p>
        </w:tc>
      </w:tr>
      <w:tr w:rsidR="00415A84" w:rsidRPr="00321931" w14:paraId="3BA76489" w14:textId="77777777" w:rsidTr="007E3C0D">
        <w:tc>
          <w:tcPr>
            <w:tcW w:w="1890" w:type="dxa"/>
          </w:tcPr>
          <w:p w14:paraId="0F681B79" w14:textId="77777777" w:rsidR="00F35E76" w:rsidRPr="00933C7D" w:rsidRDefault="00F35E76" w:rsidP="003772B6">
            <w:pPr>
              <w:spacing w:line="276" w:lineRule="auto"/>
              <w:rPr>
                <w:rFonts w:ascii="Palatino Linotype" w:hAnsi="Palatino Linotype" w:cstheme="majorBidi"/>
                <w:b/>
                <w:bCs/>
                <w:sz w:val="18"/>
                <w:szCs w:val="18"/>
              </w:rPr>
            </w:pPr>
          </w:p>
        </w:tc>
        <w:tc>
          <w:tcPr>
            <w:tcW w:w="630" w:type="dxa"/>
          </w:tcPr>
          <w:p w14:paraId="27F2B7D7"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25838681"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41CBBCB5"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(1)</w:t>
            </w:r>
          </w:p>
        </w:tc>
        <w:tc>
          <w:tcPr>
            <w:tcW w:w="5400" w:type="dxa"/>
            <w:gridSpan w:val="3"/>
          </w:tcPr>
          <w:p w14:paraId="40134E49" w14:textId="08B48E03"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description of the group’s </w:t>
            </w:r>
            <w:r w:rsidR="00E91B72" w:rsidRPr="00483ED7">
              <w:rPr>
                <w:rFonts w:ascii="Palatino Linotype" w:hAnsi="Palatino Linotype" w:cstheme="majorBidi"/>
                <w:highlight w:val="cyan"/>
              </w:rPr>
              <w:t>overall</w:t>
            </w:r>
            <w:r w:rsidR="00E91B72" w:rsidRPr="00321931">
              <w:rPr>
                <w:rFonts w:ascii="Palatino Linotype" w:hAnsi="Palatino Linotype" w:cstheme="majorBidi"/>
              </w:rPr>
              <w:t xml:space="preserve"> </w:t>
            </w:r>
            <w:r w:rsidRPr="00321931">
              <w:rPr>
                <w:rFonts w:ascii="Palatino Linotype" w:hAnsi="Palatino Linotype" w:cstheme="majorBidi"/>
              </w:rPr>
              <w:t xml:space="preserve">strategy for the development, ownership and exploitation of </w:t>
            </w:r>
            <w:r w:rsidRPr="00321931">
              <w:rPr>
                <w:rFonts w:ascii="Palatino Linotype" w:hAnsi="Palatino Linotype" w:cstheme="majorBidi"/>
              </w:rPr>
              <w:lastRenderedPageBreak/>
              <w:t xml:space="preserve">intangible assets, including the location of research and development facilities and the location from which research and development is </w:t>
            </w:r>
            <w:proofErr w:type="gramStart"/>
            <w:r w:rsidRPr="00321931">
              <w:rPr>
                <w:rFonts w:ascii="Palatino Linotype" w:hAnsi="Palatino Linotype" w:cstheme="majorBidi"/>
              </w:rPr>
              <w:t>managed;</w:t>
            </w:r>
            <w:proofErr w:type="gramEnd"/>
          </w:p>
          <w:p w14:paraId="3FAF1AE4"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3692D773" w14:textId="77777777" w:rsidTr="007E3C0D">
        <w:tc>
          <w:tcPr>
            <w:tcW w:w="1890" w:type="dxa"/>
          </w:tcPr>
          <w:p w14:paraId="1FC8AF18" w14:textId="77777777" w:rsidR="00F35E76" w:rsidRPr="00933C7D" w:rsidRDefault="00F35E76" w:rsidP="003772B6">
            <w:pPr>
              <w:spacing w:line="276" w:lineRule="auto"/>
              <w:rPr>
                <w:rFonts w:ascii="Palatino Linotype" w:hAnsi="Palatino Linotype" w:cstheme="majorBidi"/>
                <w:b/>
                <w:bCs/>
                <w:sz w:val="18"/>
                <w:szCs w:val="18"/>
              </w:rPr>
            </w:pPr>
          </w:p>
        </w:tc>
        <w:tc>
          <w:tcPr>
            <w:tcW w:w="630" w:type="dxa"/>
          </w:tcPr>
          <w:p w14:paraId="70F1DE98"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09F553E0"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239F6629"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(2)</w:t>
            </w:r>
          </w:p>
        </w:tc>
        <w:tc>
          <w:tcPr>
            <w:tcW w:w="5400" w:type="dxa"/>
            <w:gridSpan w:val="3"/>
          </w:tcPr>
          <w:p w14:paraId="351EE5B2"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list of intangible assets </w:t>
            </w:r>
            <w:r w:rsidR="00F979E4" w:rsidRPr="00321931">
              <w:rPr>
                <w:rFonts w:ascii="Palatino Linotype" w:hAnsi="Palatino Linotype" w:cstheme="majorBidi"/>
              </w:rPr>
              <w:t>that includes</w:t>
            </w:r>
            <w:r w:rsidRPr="00321931">
              <w:rPr>
                <w:rFonts w:ascii="Palatino Linotype" w:hAnsi="Palatino Linotype" w:cstheme="majorBidi"/>
              </w:rPr>
              <w:t xml:space="preserve"> the names of the entities that have legal ownership of those </w:t>
            </w:r>
            <w:proofErr w:type="gramStart"/>
            <w:r w:rsidRPr="00321931">
              <w:rPr>
                <w:rFonts w:ascii="Palatino Linotype" w:hAnsi="Palatino Linotype" w:cstheme="majorBidi"/>
              </w:rPr>
              <w:t>assets;</w:t>
            </w:r>
            <w:proofErr w:type="gramEnd"/>
          </w:p>
          <w:p w14:paraId="7D5EBD58"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089808CA" w14:textId="77777777" w:rsidTr="007E3C0D">
        <w:tc>
          <w:tcPr>
            <w:tcW w:w="1890" w:type="dxa"/>
          </w:tcPr>
          <w:p w14:paraId="3A6021A2" w14:textId="77777777" w:rsidR="00F35E76" w:rsidRPr="00933C7D" w:rsidRDefault="00F35E76" w:rsidP="003772B6">
            <w:pPr>
              <w:spacing w:line="276" w:lineRule="auto"/>
              <w:rPr>
                <w:rFonts w:ascii="Palatino Linotype" w:hAnsi="Palatino Linotype" w:cstheme="majorBidi"/>
                <w:b/>
                <w:bCs/>
                <w:sz w:val="18"/>
                <w:szCs w:val="18"/>
              </w:rPr>
            </w:pPr>
          </w:p>
        </w:tc>
        <w:tc>
          <w:tcPr>
            <w:tcW w:w="630" w:type="dxa"/>
          </w:tcPr>
          <w:p w14:paraId="14F708F0"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641EA4CB"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06A4F623"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(3)</w:t>
            </w:r>
          </w:p>
        </w:tc>
        <w:tc>
          <w:tcPr>
            <w:tcW w:w="5400" w:type="dxa"/>
            <w:gridSpan w:val="3"/>
          </w:tcPr>
          <w:p w14:paraId="01834FE5"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list of agreements among </w:t>
            </w:r>
            <w:r w:rsidR="00035900" w:rsidRPr="00321931">
              <w:rPr>
                <w:rFonts w:ascii="Palatino Linotype" w:hAnsi="Palatino Linotype" w:cstheme="majorBidi"/>
              </w:rPr>
              <w:t>associated</w:t>
            </w:r>
            <w:r w:rsidRPr="00321931">
              <w:rPr>
                <w:rFonts w:ascii="Palatino Linotype" w:hAnsi="Palatino Linotype" w:cstheme="majorBidi"/>
              </w:rPr>
              <w:t xml:space="preserve"> parties concerning those intangible assets</w:t>
            </w:r>
            <w:r w:rsidR="00035900" w:rsidRPr="00321931">
              <w:rPr>
                <w:rFonts w:ascii="Palatino Linotype" w:hAnsi="Palatino Linotype" w:cstheme="majorBidi"/>
              </w:rPr>
              <w:t xml:space="preserve"> that includes </w:t>
            </w:r>
            <w:r w:rsidRPr="00321931">
              <w:rPr>
                <w:rFonts w:ascii="Palatino Linotype" w:hAnsi="Palatino Linotype" w:cstheme="majorBidi"/>
              </w:rPr>
              <w:t xml:space="preserve">cost sharing agreements, </w:t>
            </w:r>
            <w:r w:rsidR="00035900" w:rsidRPr="00321931">
              <w:rPr>
                <w:rFonts w:ascii="Palatino Linotype" w:hAnsi="Palatino Linotype" w:cstheme="majorBidi"/>
              </w:rPr>
              <w:t xml:space="preserve">cost contribution arrangements, </w:t>
            </w:r>
            <w:r w:rsidRPr="00321931">
              <w:rPr>
                <w:rFonts w:ascii="Palatino Linotype" w:hAnsi="Palatino Linotype" w:cstheme="majorBidi"/>
              </w:rPr>
              <w:t xml:space="preserve">research service agreements and license </w:t>
            </w:r>
            <w:proofErr w:type="gramStart"/>
            <w:r w:rsidRPr="00321931">
              <w:rPr>
                <w:rFonts w:ascii="Palatino Linotype" w:hAnsi="Palatino Linotype" w:cstheme="majorBidi"/>
              </w:rPr>
              <w:t>agreements;</w:t>
            </w:r>
            <w:proofErr w:type="gramEnd"/>
          </w:p>
          <w:p w14:paraId="259CB9FE"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2387062C" w14:textId="77777777" w:rsidTr="007E3C0D">
        <w:tc>
          <w:tcPr>
            <w:tcW w:w="1890" w:type="dxa"/>
          </w:tcPr>
          <w:p w14:paraId="4B95DF3F" w14:textId="77777777" w:rsidR="00F35E76" w:rsidRPr="00933C7D" w:rsidRDefault="00F35E76" w:rsidP="003772B6">
            <w:pPr>
              <w:spacing w:line="276" w:lineRule="auto"/>
              <w:rPr>
                <w:rFonts w:ascii="Palatino Linotype" w:hAnsi="Palatino Linotype" w:cstheme="majorBidi"/>
                <w:b/>
                <w:bCs/>
                <w:sz w:val="18"/>
                <w:szCs w:val="18"/>
              </w:rPr>
            </w:pPr>
          </w:p>
        </w:tc>
        <w:tc>
          <w:tcPr>
            <w:tcW w:w="630" w:type="dxa"/>
          </w:tcPr>
          <w:p w14:paraId="4FA25C60"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22BEA100"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0633337A"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(4)</w:t>
            </w:r>
          </w:p>
        </w:tc>
        <w:tc>
          <w:tcPr>
            <w:tcW w:w="5400" w:type="dxa"/>
            <w:gridSpan w:val="3"/>
          </w:tcPr>
          <w:p w14:paraId="754A84D1"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description of the group’s transfer pricing policies relating to research and development and to intangible </w:t>
            </w:r>
            <w:proofErr w:type="gramStart"/>
            <w:r w:rsidRPr="00321931">
              <w:rPr>
                <w:rFonts w:ascii="Palatino Linotype" w:hAnsi="Palatino Linotype" w:cstheme="majorBidi"/>
              </w:rPr>
              <w:t>assets;</w:t>
            </w:r>
            <w:proofErr w:type="gramEnd"/>
          </w:p>
          <w:p w14:paraId="46D63A4A" w14:textId="77777777" w:rsidR="00F35E76" w:rsidRPr="00321931" w:rsidRDefault="00F35E76" w:rsidP="003772B6">
            <w:pPr>
              <w:spacing w:line="276" w:lineRule="auto"/>
              <w:jc w:val="both"/>
              <w:rPr>
                <w:rFonts w:ascii="Palatino Linotype" w:hAnsi="Palatino Linotype" w:cstheme="majorBidi"/>
              </w:rPr>
            </w:pPr>
          </w:p>
        </w:tc>
      </w:tr>
      <w:tr w:rsidR="00415A84" w:rsidRPr="00321931" w14:paraId="682B900B" w14:textId="77777777" w:rsidTr="007E3C0D">
        <w:tc>
          <w:tcPr>
            <w:tcW w:w="1890" w:type="dxa"/>
          </w:tcPr>
          <w:p w14:paraId="0E047EEF" w14:textId="77777777" w:rsidR="00F35E76" w:rsidRPr="00933C7D" w:rsidRDefault="00F35E76" w:rsidP="003772B6">
            <w:pPr>
              <w:spacing w:line="276" w:lineRule="auto"/>
              <w:rPr>
                <w:rFonts w:ascii="Palatino Linotype" w:hAnsi="Palatino Linotype" w:cstheme="majorBidi"/>
                <w:b/>
                <w:bCs/>
                <w:sz w:val="18"/>
                <w:szCs w:val="18"/>
              </w:rPr>
            </w:pPr>
          </w:p>
        </w:tc>
        <w:tc>
          <w:tcPr>
            <w:tcW w:w="630" w:type="dxa"/>
          </w:tcPr>
          <w:p w14:paraId="5D864C19" w14:textId="77777777" w:rsidR="00F35E76" w:rsidRPr="00321931" w:rsidRDefault="00F35E76" w:rsidP="003772B6">
            <w:pPr>
              <w:spacing w:line="276" w:lineRule="auto"/>
              <w:jc w:val="both"/>
              <w:rPr>
                <w:rFonts w:ascii="Palatino Linotype" w:hAnsi="Palatino Linotype" w:cstheme="majorBidi"/>
              </w:rPr>
            </w:pPr>
          </w:p>
        </w:tc>
        <w:tc>
          <w:tcPr>
            <w:tcW w:w="540" w:type="dxa"/>
          </w:tcPr>
          <w:p w14:paraId="04223A8B" w14:textId="77777777" w:rsidR="00F35E76" w:rsidRPr="00321931" w:rsidRDefault="00F35E76" w:rsidP="003772B6">
            <w:pPr>
              <w:spacing w:line="276" w:lineRule="auto"/>
              <w:jc w:val="both"/>
              <w:rPr>
                <w:rFonts w:ascii="Palatino Linotype" w:hAnsi="Palatino Linotype" w:cstheme="majorBidi"/>
              </w:rPr>
            </w:pPr>
          </w:p>
        </w:tc>
        <w:tc>
          <w:tcPr>
            <w:tcW w:w="630" w:type="dxa"/>
          </w:tcPr>
          <w:p w14:paraId="302CA9B5" w14:textId="77777777" w:rsidR="00F35E76" w:rsidRPr="00321931" w:rsidRDefault="00F35E76" w:rsidP="003772B6">
            <w:pPr>
              <w:spacing w:line="276" w:lineRule="auto"/>
              <w:jc w:val="both"/>
              <w:rPr>
                <w:rFonts w:ascii="Palatino Linotype" w:hAnsi="Palatino Linotype" w:cstheme="majorBidi"/>
              </w:rPr>
            </w:pPr>
            <w:r w:rsidRPr="00321931">
              <w:rPr>
                <w:rFonts w:ascii="Palatino Linotype" w:hAnsi="Palatino Linotype" w:cstheme="majorBidi"/>
              </w:rPr>
              <w:t>(5)</w:t>
            </w:r>
          </w:p>
        </w:tc>
        <w:tc>
          <w:tcPr>
            <w:tcW w:w="5400" w:type="dxa"/>
            <w:gridSpan w:val="3"/>
          </w:tcPr>
          <w:p w14:paraId="3C775BF9" w14:textId="77777777" w:rsidR="00F35E76" w:rsidRPr="00321931" w:rsidRDefault="00571336"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description of any transfer of interests in intangible assets among </w:t>
            </w:r>
            <w:r w:rsidR="00035900" w:rsidRPr="00321931">
              <w:rPr>
                <w:rFonts w:ascii="Palatino Linotype" w:hAnsi="Palatino Linotype" w:cstheme="majorBidi"/>
              </w:rPr>
              <w:t>associated</w:t>
            </w:r>
            <w:r w:rsidRPr="00321931">
              <w:rPr>
                <w:rFonts w:ascii="Palatino Linotype" w:hAnsi="Palatino Linotype" w:cstheme="majorBidi"/>
              </w:rPr>
              <w:t xml:space="preserve"> parties, including the names of those parties and the countries they carry on business in, and the amount of compensation involved</w:t>
            </w:r>
            <w:r w:rsidR="00035900" w:rsidRPr="00321931">
              <w:rPr>
                <w:rFonts w:ascii="Palatino Linotype" w:hAnsi="Palatino Linotype" w:cstheme="majorBidi"/>
              </w:rPr>
              <w:t>.</w:t>
            </w:r>
          </w:p>
          <w:p w14:paraId="4A10236B" w14:textId="77777777" w:rsidR="00571336" w:rsidRPr="00321931" w:rsidRDefault="00571336" w:rsidP="003772B6">
            <w:pPr>
              <w:spacing w:line="276" w:lineRule="auto"/>
              <w:jc w:val="both"/>
              <w:rPr>
                <w:rFonts w:ascii="Palatino Linotype" w:hAnsi="Palatino Linotype" w:cstheme="majorBidi"/>
              </w:rPr>
            </w:pPr>
          </w:p>
        </w:tc>
      </w:tr>
      <w:tr w:rsidR="00415A84" w:rsidRPr="00321931" w14:paraId="115B60DC" w14:textId="77777777" w:rsidTr="007E3C0D">
        <w:tc>
          <w:tcPr>
            <w:tcW w:w="1890" w:type="dxa"/>
            <w:vMerge w:val="restart"/>
          </w:tcPr>
          <w:p w14:paraId="6A41DD78" w14:textId="77777777" w:rsidR="00A60B3D" w:rsidRPr="00933C7D" w:rsidRDefault="00A60B3D" w:rsidP="003772B6">
            <w:pPr>
              <w:spacing w:line="276" w:lineRule="auto"/>
              <w:rPr>
                <w:rFonts w:ascii="Palatino Linotype" w:hAnsi="Palatino Linotype" w:cstheme="majorBidi"/>
                <w:b/>
                <w:bCs/>
                <w:sz w:val="18"/>
                <w:szCs w:val="18"/>
              </w:rPr>
            </w:pPr>
            <w:r w:rsidRPr="00933C7D">
              <w:rPr>
                <w:rFonts w:ascii="Palatino Linotype" w:hAnsi="Palatino Linotype" w:cstheme="majorBidi"/>
                <w:b/>
                <w:bCs/>
                <w:sz w:val="18"/>
                <w:szCs w:val="18"/>
              </w:rPr>
              <w:t>Group’s intercompany financial activities</w:t>
            </w:r>
          </w:p>
        </w:tc>
        <w:tc>
          <w:tcPr>
            <w:tcW w:w="630" w:type="dxa"/>
          </w:tcPr>
          <w:p w14:paraId="7BDA3EE0" w14:textId="77777777" w:rsidR="00A60B3D" w:rsidRPr="00321931" w:rsidRDefault="00A60B3D" w:rsidP="003772B6">
            <w:pPr>
              <w:spacing w:line="276" w:lineRule="auto"/>
              <w:jc w:val="both"/>
              <w:rPr>
                <w:rFonts w:ascii="Palatino Linotype" w:hAnsi="Palatino Linotype" w:cstheme="majorBidi"/>
              </w:rPr>
            </w:pPr>
          </w:p>
        </w:tc>
        <w:tc>
          <w:tcPr>
            <w:tcW w:w="540" w:type="dxa"/>
          </w:tcPr>
          <w:p w14:paraId="7EAB01FF" w14:textId="77777777" w:rsidR="00A60B3D" w:rsidRPr="00321931" w:rsidRDefault="00A60B3D" w:rsidP="003772B6">
            <w:pPr>
              <w:spacing w:line="276" w:lineRule="auto"/>
              <w:jc w:val="both"/>
              <w:rPr>
                <w:rFonts w:ascii="Palatino Linotype" w:hAnsi="Palatino Linotype" w:cstheme="majorBidi"/>
              </w:rPr>
            </w:pPr>
            <w:r w:rsidRPr="00321931">
              <w:rPr>
                <w:rFonts w:ascii="Palatino Linotype" w:hAnsi="Palatino Linotype" w:cstheme="majorBidi"/>
              </w:rPr>
              <w:t>(d)</w:t>
            </w:r>
          </w:p>
        </w:tc>
        <w:tc>
          <w:tcPr>
            <w:tcW w:w="6030" w:type="dxa"/>
            <w:gridSpan w:val="4"/>
          </w:tcPr>
          <w:p w14:paraId="01787FC3" w14:textId="42D70A02" w:rsidR="00A60B3D" w:rsidRPr="00321931" w:rsidRDefault="00A60B3D" w:rsidP="003772B6">
            <w:pPr>
              <w:spacing w:line="276" w:lineRule="auto"/>
              <w:jc w:val="both"/>
              <w:rPr>
                <w:rFonts w:ascii="Palatino Linotype" w:hAnsi="Palatino Linotype" w:cstheme="majorBidi"/>
              </w:rPr>
            </w:pPr>
            <w:r w:rsidRPr="00483ED7">
              <w:rPr>
                <w:rFonts w:ascii="Palatino Linotype" w:hAnsi="Palatino Linotype" w:cstheme="majorBidi"/>
                <w:highlight w:val="cyan"/>
              </w:rPr>
              <w:t>A description of the group’s financial activities</w:t>
            </w:r>
            <w:r w:rsidR="002733CC" w:rsidRPr="00483ED7">
              <w:rPr>
                <w:rFonts w:ascii="Palatino Linotype" w:hAnsi="Palatino Linotype" w:cstheme="majorBidi"/>
                <w:highlight w:val="cyan"/>
              </w:rPr>
              <w:t xml:space="preserve"> in the accounting period</w:t>
            </w:r>
            <w:r w:rsidRPr="00483ED7">
              <w:rPr>
                <w:rFonts w:ascii="Palatino Linotype" w:hAnsi="Palatino Linotype" w:cstheme="majorBidi"/>
                <w:highlight w:val="cyan"/>
              </w:rPr>
              <w:t>, including:</w:t>
            </w:r>
          </w:p>
          <w:p w14:paraId="06CA1384" w14:textId="77777777" w:rsidR="00A60B3D" w:rsidRPr="00321931" w:rsidRDefault="00A60B3D" w:rsidP="00571336">
            <w:pPr>
              <w:jc w:val="both"/>
              <w:rPr>
                <w:rFonts w:ascii="Palatino Linotype" w:hAnsi="Palatino Linotype" w:cstheme="majorBidi"/>
              </w:rPr>
            </w:pPr>
          </w:p>
        </w:tc>
      </w:tr>
      <w:tr w:rsidR="00415A84" w:rsidRPr="00321931" w14:paraId="7A13F6A3" w14:textId="77777777" w:rsidTr="007E3C0D">
        <w:tc>
          <w:tcPr>
            <w:tcW w:w="1890" w:type="dxa"/>
            <w:vMerge/>
          </w:tcPr>
          <w:p w14:paraId="799F95D9" w14:textId="77777777" w:rsidR="00A60B3D" w:rsidRPr="00933C7D" w:rsidRDefault="00A60B3D" w:rsidP="003772B6">
            <w:pPr>
              <w:spacing w:line="276" w:lineRule="auto"/>
              <w:rPr>
                <w:rFonts w:ascii="Palatino Linotype" w:hAnsi="Palatino Linotype" w:cstheme="majorBidi"/>
                <w:b/>
                <w:bCs/>
                <w:sz w:val="18"/>
                <w:szCs w:val="18"/>
              </w:rPr>
            </w:pPr>
          </w:p>
        </w:tc>
        <w:tc>
          <w:tcPr>
            <w:tcW w:w="630" w:type="dxa"/>
          </w:tcPr>
          <w:p w14:paraId="7A4497AF" w14:textId="77777777" w:rsidR="00A60B3D" w:rsidRPr="00321931" w:rsidRDefault="00A60B3D" w:rsidP="003772B6">
            <w:pPr>
              <w:spacing w:line="276" w:lineRule="auto"/>
              <w:jc w:val="both"/>
              <w:rPr>
                <w:rFonts w:ascii="Palatino Linotype" w:hAnsi="Palatino Linotype" w:cstheme="majorBidi"/>
              </w:rPr>
            </w:pPr>
          </w:p>
        </w:tc>
        <w:tc>
          <w:tcPr>
            <w:tcW w:w="540" w:type="dxa"/>
          </w:tcPr>
          <w:p w14:paraId="347C01BF" w14:textId="77777777" w:rsidR="00A60B3D" w:rsidRPr="00321931" w:rsidRDefault="00A60B3D" w:rsidP="003772B6">
            <w:pPr>
              <w:spacing w:line="276" w:lineRule="auto"/>
              <w:jc w:val="both"/>
              <w:rPr>
                <w:rFonts w:ascii="Palatino Linotype" w:hAnsi="Palatino Linotype" w:cstheme="majorBidi"/>
              </w:rPr>
            </w:pPr>
          </w:p>
        </w:tc>
        <w:tc>
          <w:tcPr>
            <w:tcW w:w="630" w:type="dxa"/>
          </w:tcPr>
          <w:p w14:paraId="145BC8E4" w14:textId="77777777" w:rsidR="00A60B3D" w:rsidRPr="00321931" w:rsidRDefault="00A60B3D" w:rsidP="003772B6">
            <w:pPr>
              <w:spacing w:line="276" w:lineRule="auto"/>
              <w:jc w:val="both"/>
              <w:rPr>
                <w:rFonts w:ascii="Palatino Linotype" w:hAnsi="Palatino Linotype" w:cstheme="majorBidi"/>
              </w:rPr>
            </w:pPr>
            <w:r w:rsidRPr="00321931">
              <w:rPr>
                <w:rFonts w:ascii="Palatino Linotype" w:hAnsi="Palatino Linotype" w:cstheme="majorBidi"/>
              </w:rPr>
              <w:t>(1)</w:t>
            </w:r>
          </w:p>
        </w:tc>
        <w:tc>
          <w:tcPr>
            <w:tcW w:w="5400" w:type="dxa"/>
            <w:gridSpan w:val="3"/>
          </w:tcPr>
          <w:p w14:paraId="203697C4" w14:textId="77777777" w:rsidR="00A60B3D" w:rsidRPr="00321931" w:rsidRDefault="00A60B3D"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group’s financial activities, including the group’s inter-company financial activities </w:t>
            </w:r>
            <w:r w:rsidR="00156C96" w:rsidRPr="00321931">
              <w:rPr>
                <w:rFonts w:ascii="Palatino Linotype" w:hAnsi="Palatino Linotype" w:cstheme="majorBidi"/>
              </w:rPr>
              <w:t xml:space="preserve">and financing arrangements with </w:t>
            </w:r>
            <w:r w:rsidR="002733CC" w:rsidRPr="00321931">
              <w:rPr>
                <w:rFonts w:ascii="Palatino Linotype" w:hAnsi="Palatino Linotype" w:cstheme="majorBidi"/>
              </w:rPr>
              <w:t xml:space="preserve">independent </w:t>
            </w:r>
            <w:proofErr w:type="gramStart"/>
            <w:r w:rsidRPr="00321931">
              <w:rPr>
                <w:rFonts w:ascii="Palatino Linotype" w:hAnsi="Palatino Linotype" w:cstheme="majorBidi"/>
              </w:rPr>
              <w:t>parties;</w:t>
            </w:r>
            <w:proofErr w:type="gramEnd"/>
          </w:p>
          <w:p w14:paraId="6968F1DF" w14:textId="77777777" w:rsidR="00A60B3D" w:rsidRPr="00321931" w:rsidRDefault="00A60B3D" w:rsidP="003772B6">
            <w:pPr>
              <w:spacing w:line="276" w:lineRule="auto"/>
              <w:jc w:val="both"/>
              <w:rPr>
                <w:rFonts w:ascii="Palatino Linotype" w:hAnsi="Palatino Linotype" w:cstheme="majorBidi"/>
              </w:rPr>
            </w:pPr>
          </w:p>
        </w:tc>
      </w:tr>
      <w:tr w:rsidR="00415A84" w:rsidRPr="00321931" w14:paraId="186A7946" w14:textId="77777777" w:rsidTr="007E3C0D">
        <w:tc>
          <w:tcPr>
            <w:tcW w:w="1890" w:type="dxa"/>
            <w:vMerge/>
          </w:tcPr>
          <w:p w14:paraId="6AE9CA5E" w14:textId="77777777" w:rsidR="00946159" w:rsidRPr="00933C7D" w:rsidRDefault="00946159" w:rsidP="003772B6">
            <w:pPr>
              <w:spacing w:line="276" w:lineRule="auto"/>
              <w:rPr>
                <w:rFonts w:ascii="Palatino Linotype" w:hAnsi="Palatino Linotype" w:cstheme="majorBidi"/>
                <w:b/>
                <w:bCs/>
                <w:sz w:val="18"/>
                <w:szCs w:val="18"/>
              </w:rPr>
            </w:pPr>
          </w:p>
        </w:tc>
        <w:tc>
          <w:tcPr>
            <w:tcW w:w="630" w:type="dxa"/>
          </w:tcPr>
          <w:p w14:paraId="26055B6E" w14:textId="77777777" w:rsidR="00946159" w:rsidRPr="00321931" w:rsidRDefault="00946159" w:rsidP="003772B6">
            <w:pPr>
              <w:spacing w:line="276" w:lineRule="auto"/>
              <w:jc w:val="both"/>
              <w:rPr>
                <w:rFonts w:ascii="Palatino Linotype" w:hAnsi="Palatino Linotype" w:cstheme="majorBidi"/>
              </w:rPr>
            </w:pPr>
          </w:p>
        </w:tc>
        <w:tc>
          <w:tcPr>
            <w:tcW w:w="540" w:type="dxa"/>
          </w:tcPr>
          <w:p w14:paraId="3691585D" w14:textId="77777777" w:rsidR="00946159" w:rsidRPr="00321931" w:rsidRDefault="00946159" w:rsidP="003772B6">
            <w:pPr>
              <w:spacing w:line="276" w:lineRule="auto"/>
              <w:jc w:val="both"/>
              <w:rPr>
                <w:rFonts w:ascii="Palatino Linotype" w:hAnsi="Palatino Linotype" w:cstheme="majorBidi"/>
              </w:rPr>
            </w:pPr>
          </w:p>
        </w:tc>
        <w:tc>
          <w:tcPr>
            <w:tcW w:w="630" w:type="dxa"/>
          </w:tcPr>
          <w:p w14:paraId="00F7B39E" w14:textId="77777777" w:rsidR="00946159" w:rsidRPr="00321931" w:rsidRDefault="00946159" w:rsidP="003772B6">
            <w:pPr>
              <w:spacing w:line="276" w:lineRule="auto"/>
              <w:jc w:val="both"/>
              <w:rPr>
                <w:rFonts w:ascii="Palatino Linotype" w:hAnsi="Palatino Linotype" w:cstheme="majorBidi"/>
              </w:rPr>
            </w:pPr>
            <w:r w:rsidRPr="00321931">
              <w:rPr>
                <w:rFonts w:ascii="Palatino Linotype" w:hAnsi="Palatino Linotype" w:cstheme="majorBidi"/>
              </w:rPr>
              <w:t>(2)</w:t>
            </w:r>
          </w:p>
        </w:tc>
        <w:tc>
          <w:tcPr>
            <w:tcW w:w="5400" w:type="dxa"/>
            <w:gridSpan w:val="3"/>
          </w:tcPr>
          <w:p w14:paraId="39B260FB" w14:textId="77777777" w:rsidR="00946159" w:rsidRPr="00321931" w:rsidRDefault="00514CDF" w:rsidP="003772B6">
            <w:pPr>
              <w:spacing w:line="276" w:lineRule="auto"/>
              <w:jc w:val="both"/>
              <w:rPr>
                <w:rFonts w:ascii="Palatino Linotype" w:hAnsi="Palatino Linotype" w:cstheme="majorBidi"/>
              </w:rPr>
            </w:pPr>
            <w:r w:rsidRPr="00321931">
              <w:rPr>
                <w:rFonts w:ascii="Palatino Linotype" w:hAnsi="Palatino Linotype" w:cstheme="majorBidi"/>
              </w:rPr>
              <w:t xml:space="preserve">identification of any entity or entities of the group that provides a central financing function for the group, including the country of incorporation of the entities concerned and their place of effective </w:t>
            </w:r>
            <w:proofErr w:type="gramStart"/>
            <w:r w:rsidRPr="00321931">
              <w:rPr>
                <w:rFonts w:ascii="Palatino Linotype" w:hAnsi="Palatino Linotype" w:cstheme="majorBidi"/>
              </w:rPr>
              <w:t>management;</w:t>
            </w:r>
            <w:proofErr w:type="gramEnd"/>
          </w:p>
          <w:p w14:paraId="0B3F59F3" w14:textId="77777777" w:rsidR="00514CDF" w:rsidRPr="00321931" w:rsidRDefault="00514CDF" w:rsidP="003772B6">
            <w:pPr>
              <w:spacing w:line="276" w:lineRule="auto"/>
              <w:jc w:val="both"/>
              <w:rPr>
                <w:rFonts w:ascii="Palatino Linotype" w:hAnsi="Palatino Linotype" w:cstheme="majorBidi"/>
              </w:rPr>
            </w:pPr>
          </w:p>
        </w:tc>
      </w:tr>
      <w:tr w:rsidR="00415A84" w:rsidRPr="00321931" w14:paraId="033AFA7F" w14:textId="77777777" w:rsidTr="007E3C0D">
        <w:tc>
          <w:tcPr>
            <w:tcW w:w="1890" w:type="dxa"/>
          </w:tcPr>
          <w:p w14:paraId="47BB3C89" w14:textId="77777777" w:rsidR="00514CDF" w:rsidRPr="00933C7D" w:rsidRDefault="00514CDF" w:rsidP="003772B6">
            <w:pPr>
              <w:spacing w:line="276" w:lineRule="auto"/>
              <w:rPr>
                <w:rFonts w:ascii="Palatino Linotype" w:hAnsi="Palatino Linotype" w:cstheme="majorBidi"/>
                <w:b/>
                <w:bCs/>
                <w:sz w:val="18"/>
                <w:szCs w:val="18"/>
              </w:rPr>
            </w:pPr>
          </w:p>
        </w:tc>
        <w:tc>
          <w:tcPr>
            <w:tcW w:w="630" w:type="dxa"/>
          </w:tcPr>
          <w:p w14:paraId="750E1FE5" w14:textId="77777777" w:rsidR="00514CDF" w:rsidRPr="00321931" w:rsidRDefault="00514CDF" w:rsidP="003772B6">
            <w:pPr>
              <w:spacing w:line="276" w:lineRule="auto"/>
              <w:jc w:val="both"/>
              <w:rPr>
                <w:rFonts w:ascii="Palatino Linotype" w:hAnsi="Palatino Linotype" w:cstheme="majorBidi"/>
              </w:rPr>
            </w:pPr>
          </w:p>
        </w:tc>
        <w:tc>
          <w:tcPr>
            <w:tcW w:w="540" w:type="dxa"/>
          </w:tcPr>
          <w:p w14:paraId="39EA8303" w14:textId="77777777" w:rsidR="00514CDF" w:rsidRPr="00321931" w:rsidRDefault="00514CDF" w:rsidP="003772B6">
            <w:pPr>
              <w:spacing w:line="276" w:lineRule="auto"/>
              <w:jc w:val="both"/>
              <w:rPr>
                <w:rFonts w:ascii="Palatino Linotype" w:hAnsi="Palatino Linotype" w:cstheme="majorBidi"/>
              </w:rPr>
            </w:pPr>
          </w:p>
        </w:tc>
        <w:tc>
          <w:tcPr>
            <w:tcW w:w="630" w:type="dxa"/>
          </w:tcPr>
          <w:p w14:paraId="74B0D670" w14:textId="77777777" w:rsidR="00514CDF" w:rsidRPr="00321931" w:rsidRDefault="00514CDF" w:rsidP="003772B6">
            <w:pPr>
              <w:spacing w:line="276" w:lineRule="auto"/>
              <w:jc w:val="both"/>
              <w:rPr>
                <w:rFonts w:ascii="Palatino Linotype" w:hAnsi="Palatino Linotype" w:cstheme="majorBidi"/>
              </w:rPr>
            </w:pPr>
            <w:r w:rsidRPr="00321931">
              <w:rPr>
                <w:rFonts w:ascii="Palatino Linotype" w:hAnsi="Palatino Linotype" w:cstheme="majorBidi"/>
              </w:rPr>
              <w:t>(3)</w:t>
            </w:r>
          </w:p>
        </w:tc>
        <w:tc>
          <w:tcPr>
            <w:tcW w:w="5400" w:type="dxa"/>
            <w:gridSpan w:val="3"/>
          </w:tcPr>
          <w:p w14:paraId="3F1F8A69" w14:textId="77777777" w:rsidR="00514CDF" w:rsidRPr="00321931" w:rsidRDefault="00837198"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description of the group’s transfer pricing policies relating to financing arrangements between </w:t>
            </w:r>
            <w:r w:rsidR="002733CC" w:rsidRPr="00321931">
              <w:rPr>
                <w:rFonts w:ascii="Palatino Linotype" w:hAnsi="Palatino Linotype" w:cstheme="majorBidi"/>
              </w:rPr>
              <w:t xml:space="preserve">associated </w:t>
            </w:r>
            <w:proofErr w:type="gramStart"/>
            <w:r w:rsidRPr="00321931">
              <w:rPr>
                <w:rFonts w:ascii="Palatino Linotype" w:hAnsi="Palatino Linotype" w:cstheme="majorBidi"/>
              </w:rPr>
              <w:t>parties;</w:t>
            </w:r>
            <w:proofErr w:type="gramEnd"/>
          </w:p>
          <w:p w14:paraId="380DC493" w14:textId="77777777" w:rsidR="00837198" w:rsidRPr="00321931" w:rsidRDefault="00837198" w:rsidP="003772B6">
            <w:pPr>
              <w:spacing w:line="276" w:lineRule="auto"/>
              <w:jc w:val="both"/>
              <w:rPr>
                <w:rFonts w:ascii="Palatino Linotype" w:hAnsi="Palatino Linotype" w:cstheme="majorBidi"/>
              </w:rPr>
            </w:pPr>
          </w:p>
        </w:tc>
      </w:tr>
      <w:tr w:rsidR="00415A84" w:rsidRPr="00321931" w14:paraId="45E0C0AD" w14:textId="77777777" w:rsidTr="007E3C0D">
        <w:tc>
          <w:tcPr>
            <w:tcW w:w="1890" w:type="dxa"/>
          </w:tcPr>
          <w:p w14:paraId="08A88B5E" w14:textId="77777777" w:rsidR="00837198" w:rsidRPr="00933C7D" w:rsidRDefault="00837198" w:rsidP="003772B6">
            <w:pPr>
              <w:spacing w:line="276" w:lineRule="auto"/>
              <w:rPr>
                <w:rFonts w:ascii="Palatino Linotype" w:hAnsi="Palatino Linotype" w:cstheme="majorBidi"/>
                <w:b/>
                <w:bCs/>
                <w:sz w:val="18"/>
                <w:szCs w:val="18"/>
              </w:rPr>
            </w:pPr>
            <w:r w:rsidRPr="00933C7D">
              <w:rPr>
                <w:rFonts w:ascii="Palatino Linotype" w:hAnsi="Palatino Linotype" w:cstheme="majorBidi"/>
                <w:b/>
                <w:bCs/>
                <w:sz w:val="18"/>
                <w:szCs w:val="18"/>
              </w:rPr>
              <w:lastRenderedPageBreak/>
              <w:t>Group’s financial and tax positions</w:t>
            </w:r>
          </w:p>
        </w:tc>
        <w:tc>
          <w:tcPr>
            <w:tcW w:w="630" w:type="dxa"/>
          </w:tcPr>
          <w:p w14:paraId="44F75597" w14:textId="77777777" w:rsidR="00837198" w:rsidRPr="00321931" w:rsidRDefault="00837198" w:rsidP="003772B6">
            <w:pPr>
              <w:spacing w:line="276" w:lineRule="auto"/>
              <w:jc w:val="both"/>
              <w:rPr>
                <w:rFonts w:ascii="Palatino Linotype" w:hAnsi="Palatino Linotype" w:cstheme="majorBidi"/>
              </w:rPr>
            </w:pPr>
          </w:p>
        </w:tc>
        <w:tc>
          <w:tcPr>
            <w:tcW w:w="540" w:type="dxa"/>
          </w:tcPr>
          <w:p w14:paraId="5F9B546A" w14:textId="77777777" w:rsidR="00837198" w:rsidRPr="00321931" w:rsidRDefault="00837198" w:rsidP="003772B6">
            <w:pPr>
              <w:spacing w:line="276" w:lineRule="auto"/>
              <w:jc w:val="both"/>
              <w:rPr>
                <w:rFonts w:ascii="Palatino Linotype" w:hAnsi="Palatino Linotype" w:cstheme="majorBidi"/>
              </w:rPr>
            </w:pPr>
            <w:r w:rsidRPr="00321931">
              <w:rPr>
                <w:rFonts w:ascii="Palatino Linotype" w:hAnsi="Palatino Linotype" w:cstheme="majorBidi"/>
              </w:rPr>
              <w:t>(e)</w:t>
            </w:r>
          </w:p>
        </w:tc>
        <w:tc>
          <w:tcPr>
            <w:tcW w:w="6030" w:type="dxa"/>
            <w:gridSpan w:val="4"/>
          </w:tcPr>
          <w:p w14:paraId="65025DDE" w14:textId="4EA7CC3D" w:rsidR="00837198" w:rsidRPr="00321931" w:rsidRDefault="002733CC" w:rsidP="003772B6">
            <w:pPr>
              <w:spacing w:line="276" w:lineRule="auto"/>
              <w:jc w:val="both"/>
              <w:rPr>
                <w:rFonts w:ascii="Palatino Linotype" w:hAnsi="Palatino Linotype" w:cstheme="majorBidi"/>
              </w:rPr>
            </w:pPr>
            <w:r w:rsidRPr="00321931">
              <w:rPr>
                <w:rFonts w:ascii="Palatino Linotype" w:hAnsi="Palatino Linotype" w:cstheme="majorBidi"/>
              </w:rPr>
              <w:t>C</w:t>
            </w:r>
            <w:r w:rsidR="00837198" w:rsidRPr="00321931">
              <w:rPr>
                <w:rFonts w:ascii="Palatino Linotype" w:hAnsi="Palatino Linotype" w:cstheme="majorBidi"/>
              </w:rPr>
              <w:t xml:space="preserve">onsolidated financial statement for the accounting period concerned if otherwise prepared for financial reporting, regulatory, internal management, </w:t>
            </w:r>
            <w:proofErr w:type="gramStart"/>
            <w:r w:rsidR="00837198" w:rsidRPr="00321931">
              <w:rPr>
                <w:rFonts w:ascii="Palatino Linotype" w:hAnsi="Palatino Linotype" w:cstheme="majorBidi"/>
              </w:rPr>
              <w:t>tax</w:t>
            </w:r>
            <w:proofErr w:type="gramEnd"/>
            <w:r w:rsidR="00837198" w:rsidRPr="00321931">
              <w:rPr>
                <w:rFonts w:ascii="Palatino Linotype" w:hAnsi="Palatino Linotype" w:cstheme="majorBidi"/>
              </w:rPr>
              <w:t xml:space="preserve"> or other purposes</w:t>
            </w:r>
            <w:r w:rsidR="002A1A1A" w:rsidRPr="00321931">
              <w:rPr>
                <w:rFonts w:ascii="Palatino Linotype" w:hAnsi="Palatino Linotype" w:cstheme="majorBidi"/>
              </w:rPr>
              <w:t>.</w:t>
            </w:r>
          </w:p>
          <w:p w14:paraId="26D7F50D" w14:textId="77777777" w:rsidR="00837198" w:rsidRPr="00321931" w:rsidRDefault="00837198" w:rsidP="00514CDF">
            <w:pPr>
              <w:jc w:val="both"/>
              <w:rPr>
                <w:rFonts w:ascii="Palatino Linotype" w:hAnsi="Palatino Linotype" w:cstheme="majorBidi"/>
              </w:rPr>
            </w:pPr>
          </w:p>
        </w:tc>
      </w:tr>
      <w:tr w:rsidR="00415A84" w:rsidRPr="00321931" w14:paraId="25805DCC" w14:textId="77777777" w:rsidTr="007E3C0D">
        <w:tc>
          <w:tcPr>
            <w:tcW w:w="1890" w:type="dxa"/>
          </w:tcPr>
          <w:p w14:paraId="5A4C753A" w14:textId="77777777" w:rsidR="00B102CA" w:rsidRPr="00933C7D" w:rsidRDefault="00B102CA" w:rsidP="003772B6">
            <w:pPr>
              <w:spacing w:line="276" w:lineRule="auto"/>
              <w:rPr>
                <w:rFonts w:ascii="Palatino Linotype" w:hAnsi="Palatino Linotype" w:cstheme="majorBidi"/>
                <w:b/>
                <w:bCs/>
                <w:sz w:val="18"/>
                <w:szCs w:val="18"/>
              </w:rPr>
            </w:pPr>
            <w:r w:rsidRPr="00933C7D">
              <w:rPr>
                <w:rFonts w:ascii="Palatino Linotype" w:hAnsi="Palatino Linotype" w:cstheme="majorBidi"/>
                <w:b/>
                <w:bCs/>
                <w:sz w:val="18"/>
                <w:szCs w:val="18"/>
              </w:rPr>
              <w:t>Local File</w:t>
            </w:r>
          </w:p>
        </w:tc>
        <w:tc>
          <w:tcPr>
            <w:tcW w:w="630" w:type="dxa"/>
          </w:tcPr>
          <w:p w14:paraId="423A1DBE" w14:textId="77777777" w:rsidR="00B102CA" w:rsidRPr="00321931" w:rsidRDefault="00B102CA" w:rsidP="003772B6">
            <w:pPr>
              <w:spacing w:line="276" w:lineRule="auto"/>
              <w:jc w:val="both"/>
              <w:rPr>
                <w:rFonts w:ascii="Palatino Linotype" w:hAnsi="Palatino Linotype" w:cstheme="majorBidi"/>
              </w:rPr>
            </w:pPr>
            <w:r w:rsidRPr="00321931">
              <w:rPr>
                <w:rFonts w:ascii="Palatino Linotype" w:hAnsi="Palatino Linotype" w:cstheme="majorBidi"/>
              </w:rPr>
              <w:t>2.</w:t>
            </w:r>
          </w:p>
        </w:tc>
        <w:tc>
          <w:tcPr>
            <w:tcW w:w="6570" w:type="dxa"/>
            <w:gridSpan w:val="5"/>
          </w:tcPr>
          <w:p w14:paraId="18117116" w14:textId="16530E03" w:rsidR="00B102CA" w:rsidRPr="00321931" w:rsidRDefault="006A7E05" w:rsidP="003772B6">
            <w:pPr>
              <w:spacing w:line="276" w:lineRule="auto"/>
              <w:jc w:val="both"/>
              <w:rPr>
                <w:rFonts w:ascii="Palatino Linotype" w:hAnsi="Palatino Linotype" w:cstheme="majorBidi"/>
              </w:rPr>
            </w:pPr>
            <w:r w:rsidRPr="00321931">
              <w:rPr>
                <w:rFonts w:ascii="Palatino Linotype" w:hAnsi="Palatino Linotype" w:cstheme="majorBidi"/>
              </w:rPr>
              <w:t>I</w:t>
            </w:r>
            <w:r w:rsidR="00AD7292" w:rsidRPr="00321931">
              <w:rPr>
                <w:rFonts w:ascii="Palatino Linotype" w:hAnsi="Palatino Linotype" w:cstheme="majorBidi"/>
              </w:rPr>
              <w:t xml:space="preserve">nformation of </w:t>
            </w:r>
            <w:r w:rsidR="00AD7292"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00AD7292" w:rsidRPr="003772B6">
              <w:rPr>
                <w:rFonts w:ascii="Palatino Linotype" w:hAnsi="Palatino Linotype" w:cstheme="majorBidi"/>
                <w:highlight w:val="cyan"/>
              </w:rPr>
              <w:t>’s</w:t>
            </w:r>
            <w:r w:rsidR="00AD7292" w:rsidRPr="00321931">
              <w:rPr>
                <w:rFonts w:ascii="Palatino Linotype" w:hAnsi="Palatino Linotype" w:cstheme="majorBidi"/>
              </w:rPr>
              <w:t xml:space="preserve"> business and its transactions with its </w:t>
            </w:r>
            <w:r w:rsidRPr="00321931">
              <w:rPr>
                <w:rFonts w:ascii="Palatino Linotype" w:hAnsi="Palatino Linotype" w:cstheme="majorBidi"/>
              </w:rPr>
              <w:t>associated</w:t>
            </w:r>
            <w:r w:rsidR="00AD7292" w:rsidRPr="00321931">
              <w:rPr>
                <w:rFonts w:ascii="Palatino Linotype" w:hAnsi="Palatino Linotype" w:cstheme="majorBidi"/>
              </w:rPr>
              <w:t xml:space="preserve"> parties in the accounting period in which the transaction takes place, including:</w:t>
            </w:r>
          </w:p>
          <w:p w14:paraId="4A93DC89" w14:textId="5D1F6278" w:rsidR="002A1A1A" w:rsidRPr="00321931" w:rsidRDefault="002A1A1A" w:rsidP="003772B6">
            <w:pPr>
              <w:spacing w:line="276" w:lineRule="auto"/>
              <w:jc w:val="both"/>
              <w:rPr>
                <w:rFonts w:ascii="Palatino Linotype" w:hAnsi="Palatino Linotype" w:cstheme="majorBidi"/>
              </w:rPr>
            </w:pPr>
          </w:p>
        </w:tc>
      </w:tr>
      <w:tr w:rsidR="00415A84" w:rsidRPr="00321931" w14:paraId="24A39698" w14:textId="77777777" w:rsidTr="007E3C0D">
        <w:trPr>
          <w:trHeight w:val="783"/>
        </w:trPr>
        <w:tc>
          <w:tcPr>
            <w:tcW w:w="1890" w:type="dxa"/>
          </w:tcPr>
          <w:p w14:paraId="489B0F69" w14:textId="0B4D585E" w:rsidR="009A792D" w:rsidRPr="00933C7D" w:rsidRDefault="00052287" w:rsidP="003772B6">
            <w:pPr>
              <w:spacing w:line="276" w:lineRule="auto"/>
              <w:rPr>
                <w:rFonts w:ascii="Palatino Linotype" w:hAnsi="Palatino Linotype" w:cstheme="majorBidi"/>
                <w:b/>
                <w:bCs/>
                <w:sz w:val="18"/>
                <w:szCs w:val="18"/>
              </w:rPr>
            </w:pPr>
            <w:r w:rsidRPr="00933C7D">
              <w:rPr>
                <w:rFonts w:ascii="Palatino Linotype" w:hAnsi="Palatino Linotype" w:cstheme="majorBidi"/>
                <w:b/>
                <w:bCs/>
                <w:sz w:val="18"/>
                <w:szCs w:val="18"/>
              </w:rPr>
              <w:t xml:space="preserve">Description of the </w:t>
            </w:r>
            <w:r w:rsidR="00695F9E" w:rsidRPr="00933C7D">
              <w:rPr>
                <w:rFonts w:ascii="Palatino Linotype" w:hAnsi="Palatino Linotype" w:cstheme="majorBidi"/>
                <w:b/>
                <w:bCs/>
                <w:sz w:val="18"/>
                <w:szCs w:val="18"/>
              </w:rPr>
              <w:t>taxpayer</w:t>
            </w:r>
          </w:p>
        </w:tc>
        <w:tc>
          <w:tcPr>
            <w:tcW w:w="630" w:type="dxa"/>
          </w:tcPr>
          <w:p w14:paraId="7FAB00BD" w14:textId="77777777" w:rsidR="009A792D" w:rsidRPr="00321931" w:rsidRDefault="009A792D" w:rsidP="003772B6">
            <w:pPr>
              <w:spacing w:line="276" w:lineRule="auto"/>
              <w:jc w:val="both"/>
              <w:rPr>
                <w:rFonts w:ascii="Palatino Linotype" w:hAnsi="Palatino Linotype" w:cstheme="majorBidi"/>
              </w:rPr>
            </w:pPr>
          </w:p>
        </w:tc>
        <w:tc>
          <w:tcPr>
            <w:tcW w:w="540" w:type="dxa"/>
          </w:tcPr>
          <w:p w14:paraId="5E484B71" w14:textId="77777777" w:rsidR="009A792D" w:rsidRPr="00321931" w:rsidRDefault="00AD7292" w:rsidP="003772B6">
            <w:pPr>
              <w:spacing w:line="276" w:lineRule="auto"/>
              <w:jc w:val="both"/>
              <w:rPr>
                <w:rFonts w:ascii="Palatino Linotype" w:hAnsi="Palatino Linotype" w:cstheme="majorBidi"/>
              </w:rPr>
            </w:pPr>
            <w:r w:rsidRPr="00321931">
              <w:rPr>
                <w:rFonts w:ascii="Palatino Linotype" w:hAnsi="Palatino Linotype" w:cstheme="majorBidi"/>
              </w:rPr>
              <w:t>(a)</w:t>
            </w:r>
          </w:p>
        </w:tc>
        <w:tc>
          <w:tcPr>
            <w:tcW w:w="630" w:type="dxa"/>
          </w:tcPr>
          <w:p w14:paraId="168326C3" w14:textId="77777777" w:rsidR="009A792D" w:rsidRPr="00321931" w:rsidRDefault="00AD7292" w:rsidP="003772B6">
            <w:pPr>
              <w:spacing w:line="276" w:lineRule="auto"/>
              <w:jc w:val="both"/>
              <w:rPr>
                <w:rFonts w:ascii="Palatino Linotype" w:hAnsi="Palatino Linotype" w:cstheme="majorBidi"/>
              </w:rPr>
            </w:pPr>
            <w:r w:rsidRPr="00321931">
              <w:rPr>
                <w:rFonts w:ascii="Palatino Linotype" w:hAnsi="Palatino Linotype" w:cstheme="majorBidi"/>
              </w:rPr>
              <w:t>(1)</w:t>
            </w:r>
          </w:p>
        </w:tc>
        <w:tc>
          <w:tcPr>
            <w:tcW w:w="5400" w:type="dxa"/>
            <w:gridSpan w:val="3"/>
          </w:tcPr>
          <w:p w14:paraId="4072D238" w14:textId="106A9D29" w:rsidR="009A792D" w:rsidRPr="00321931" w:rsidRDefault="002A1A1A"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w:t>
            </w:r>
            <w:r w:rsidR="00052287" w:rsidRPr="00321931">
              <w:rPr>
                <w:rFonts w:ascii="Palatino Linotype" w:hAnsi="Palatino Linotype" w:cstheme="majorBidi"/>
              </w:rPr>
              <w:t xml:space="preserve">management structure showing the reporting lines between the </w:t>
            </w:r>
            <w:r w:rsidR="006A7E05" w:rsidRPr="00321931">
              <w:rPr>
                <w:rFonts w:ascii="Palatino Linotype" w:hAnsi="Palatino Linotype" w:cstheme="majorBidi"/>
              </w:rPr>
              <w:t xml:space="preserve">associated </w:t>
            </w:r>
            <w:r w:rsidR="00052287" w:rsidRPr="00321931">
              <w:rPr>
                <w:rFonts w:ascii="Palatino Linotype" w:hAnsi="Palatino Linotype" w:cstheme="majorBidi"/>
              </w:rPr>
              <w:t xml:space="preserve">parties and the management staff of </w:t>
            </w:r>
            <w:r w:rsidR="00052287" w:rsidRPr="003772B6">
              <w:rPr>
                <w:rFonts w:ascii="Palatino Linotype" w:hAnsi="Palatino Linotype" w:cstheme="majorBidi"/>
                <w:highlight w:val="cyan"/>
              </w:rPr>
              <w:t xml:space="preserve">the </w:t>
            </w:r>
            <w:proofErr w:type="gramStart"/>
            <w:r w:rsidR="00695F9E" w:rsidRPr="003772B6">
              <w:rPr>
                <w:rFonts w:ascii="Palatino Linotype" w:hAnsi="Palatino Linotype" w:cstheme="majorBidi"/>
                <w:highlight w:val="cyan"/>
              </w:rPr>
              <w:t>taxpayer</w:t>
            </w:r>
            <w:r w:rsidR="00052287" w:rsidRPr="003772B6">
              <w:rPr>
                <w:rFonts w:ascii="Palatino Linotype" w:hAnsi="Palatino Linotype" w:cstheme="majorBidi"/>
                <w:highlight w:val="cyan"/>
              </w:rPr>
              <w:t>;</w:t>
            </w:r>
            <w:proofErr w:type="gramEnd"/>
          </w:p>
          <w:p w14:paraId="0FF77DD9" w14:textId="77777777" w:rsidR="00052287" w:rsidRPr="00321931" w:rsidRDefault="00052287" w:rsidP="003772B6">
            <w:pPr>
              <w:spacing w:line="276" w:lineRule="auto"/>
              <w:jc w:val="both"/>
              <w:rPr>
                <w:rFonts w:ascii="Palatino Linotype" w:hAnsi="Palatino Linotype" w:cstheme="majorBidi"/>
              </w:rPr>
            </w:pPr>
          </w:p>
        </w:tc>
      </w:tr>
      <w:tr w:rsidR="00415A84" w:rsidRPr="00321931" w14:paraId="3AE231E2" w14:textId="77777777" w:rsidTr="007E3C0D">
        <w:trPr>
          <w:trHeight w:val="783"/>
        </w:trPr>
        <w:tc>
          <w:tcPr>
            <w:tcW w:w="1890" w:type="dxa"/>
          </w:tcPr>
          <w:p w14:paraId="32D517DE" w14:textId="77777777" w:rsidR="00052287" w:rsidRPr="00933C7D" w:rsidRDefault="00052287" w:rsidP="003772B6">
            <w:pPr>
              <w:spacing w:line="276" w:lineRule="auto"/>
              <w:rPr>
                <w:rFonts w:ascii="Palatino Linotype" w:hAnsi="Palatino Linotype" w:cstheme="majorBidi"/>
                <w:b/>
                <w:bCs/>
                <w:sz w:val="18"/>
                <w:szCs w:val="18"/>
              </w:rPr>
            </w:pPr>
          </w:p>
        </w:tc>
        <w:tc>
          <w:tcPr>
            <w:tcW w:w="630" w:type="dxa"/>
          </w:tcPr>
          <w:p w14:paraId="3401608A" w14:textId="77777777" w:rsidR="00052287" w:rsidRPr="00321931" w:rsidRDefault="00052287" w:rsidP="003772B6">
            <w:pPr>
              <w:spacing w:line="276" w:lineRule="auto"/>
              <w:jc w:val="both"/>
              <w:rPr>
                <w:rFonts w:ascii="Palatino Linotype" w:hAnsi="Palatino Linotype" w:cstheme="majorBidi"/>
              </w:rPr>
            </w:pPr>
          </w:p>
        </w:tc>
        <w:tc>
          <w:tcPr>
            <w:tcW w:w="540" w:type="dxa"/>
          </w:tcPr>
          <w:p w14:paraId="33E14D26" w14:textId="77777777" w:rsidR="00052287" w:rsidRPr="00321931" w:rsidRDefault="00052287" w:rsidP="003772B6">
            <w:pPr>
              <w:spacing w:line="276" w:lineRule="auto"/>
              <w:jc w:val="both"/>
              <w:rPr>
                <w:rFonts w:ascii="Palatino Linotype" w:hAnsi="Palatino Linotype" w:cstheme="majorBidi"/>
              </w:rPr>
            </w:pPr>
          </w:p>
        </w:tc>
        <w:tc>
          <w:tcPr>
            <w:tcW w:w="630" w:type="dxa"/>
          </w:tcPr>
          <w:p w14:paraId="65597B6D" w14:textId="77777777" w:rsidR="00052287" w:rsidRPr="00321931" w:rsidRDefault="00052287" w:rsidP="003772B6">
            <w:pPr>
              <w:spacing w:line="276" w:lineRule="auto"/>
              <w:jc w:val="both"/>
              <w:rPr>
                <w:rFonts w:ascii="Palatino Linotype" w:hAnsi="Palatino Linotype" w:cstheme="majorBidi"/>
              </w:rPr>
            </w:pPr>
            <w:r w:rsidRPr="00321931">
              <w:rPr>
                <w:rFonts w:ascii="Palatino Linotype" w:hAnsi="Palatino Linotype" w:cstheme="majorBidi"/>
              </w:rPr>
              <w:t>(2)</w:t>
            </w:r>
          </w:p>
        </w:tc>
        <w:tc>
          <w:tcPr>
            <w:tcW w:w="5400" w:type="dxa"/>
            <w:gridSpan w:val="3"/>
          </w:tcPr>
          <w:p w14:paraId="34E0EF85" w14:textId="7B7935F9" w:rsidR="00052287" w:rsidRPr="00321931" w:rsidRDefault="002A1A1A"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w:t>
            </w:r>
            <w:r w:rsidR="00052287" w:rsidRPr="00321931">
              <w:rPr>
                <w:rFonts w:ascii="Palatino Linotype" w:hAnsi="Palatino Linotype" w:cstheme="majorBidi"/>
              </w:rPr>
              <w:t xml:space="preserve">organizational structure of </w:t>
            </w:r>
            <w:r w:rsidR="00052287"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00052287" w:rsidRPr="00321931">
              <w:rPr>
                <w:rFonts w:ascii="Palatino Linotype" w:hAnsi="Palatino Linotype" w:cstheme="majorBidi"/>
              </w:rPr>
              <w:t xml:space="preserve">, showing the number of employees in each department, as at the end of that accounting </w:t>
            </w:r>
            <w:proofErr w:type="gramStart"/>
            <w:r w:rsidR="00052287" w:rsidRPr="00321931">
              <w:rPr>
                <w:rFonts w:ascii="Palatino Linotype" w:hAnsi="Palatino Linotype" w:cstheme="majorBidi"/>
              </w:rPr>
              <w:t>period;</w:t>
            </w:r>
            <w:proofErr w:type="gramEnd"/>
          </w:p>
          <w:p w14:paraId="3451A2E0" w14:textId="77777777" w:rsidR="00052287" w:rsidRPr="00321931" w:rsidRDefault="00052287" w:rsidP="003772B6">
            <w:pPr>
              <w:spacing w:line="276" w:lineRule="auto"/>
              <w:jc w:val="both"/>
              <w:rPr>
                <w:rFonts w:ascii="Palatino Linotype" w:hAnsi="Palatino Linotype" w:cstheme="majorBidi"/>
              </w:rPr>
            </w:pPr>
          </w:p>
        </w:tc>
      </w:tr>
      <w:tr w:rsidR="00415A84" w:rsidRPr="00321931" w14:paraId="02D1D2C5" w14:textId="77777777" w:rsidTr="007E3C0D">
        <w:trPr>
          <w:trHeight w:val="783"/>
        </w:trPr>
        <w:tc>
          <w:tcPr>
            <w:tcW w:w="1890" w:type="dxa"/>
          </w:tcPr>
          <w:p w14:paraId="12A08205" w14:textId="77777777" w:rsidR="00052287" w:rsidRPr="00933C7D" w:rsidRDefault="00052287" w:rsidP="003772B6">
            <w:pPr>
              <w:spacing w:line="276" w:lineRule="auto"/>
              <w:rPr>
                <w:rFonts w:ascii="Palatino Linotype" w:hAnsi="Palatino Linotype" w:cstheme="majorBidi"/>
                <w:b/>
                <w:bCs/>
                <w:sz w:val="18"/>
                <w:szCs w:val="18"/>
              </w:rPr>
            </w:pPr>
          </w:p>
        </w:tc>
        <w:tc>
          <w:tcPr>
            <w:tcW w:w="630" w:type="dxa"/>
          </w:tcPr>
          <w:p w14:paraId="32A8C844" w14:textId="77777777" w:rsidR="00052287" w:rsidRPr="00321931" w:rsidRDefault="00052287" w:rsidP="003772B6">
            <w:pPr>
              <w:spacing w:line="276" w:lineRule="auto"/>
              <w:jc w:val="both"/>
              <w:rPr>
                <w:rFonts w:ascii="Palatino Linotype" w:hAnsi="Palatino Linotype" w:cstheme="majorBidi"/>
              </w:rPr>
            </w:pPr>
          </w:p>
        </w:tc>
        <w:tc>
          <w:tcPr>
            <w:tcW w:w="540" w:type="dxa"/>
          </w:tcPr>
          <w:p w14:paraId="1017B95D" w14:textId="77777777" w:rsidR="00052287" w:rsidRPr="00321931" w:rsidRDefault="00052287" w:rsidP="003772B6">
            <w:pPr>
              <w:spacing w:line="276" w:lineRule="auto"/>
              <w:jc w:val="both"/>
              <w:rPr>
                <w:rFonts w:ascii="Palatino Linotype" w:hAnsi="Palatino Linotype" w:cstheme="majorBidi"/>
              </w:rPr>
            </w:pPr>
          </w:p>
        </w:tc>
        <w:tc>
          <w:tcPr>
            <w:tcW w:w="630" w:type="dxa"/>
          </w:tcPr>
          <w:p w14:paraId="792EE465" w14:textId="77777777" w:rsidR="00052287" w:rsidRPr="00321931" w:rsidRDefault="00052287" w:rsidP="003772B6">
            <w:pPr>
              <w:spacing w:line="276" w:lineRule="auto"/>
              <w:jc w:val="both"/>
              <w:rPr>
                <w:rFonts w:ascii="Palatino Linotype" w:hAnsi="Palatino Linotype" w:cstheme="majorBidi"/>
              </w:rPr>
            </w:pPr>
            <w:r w:rsidRPr="00321931">
              <w:rPr>
                <w:rFonts w:ascii="Palatino Linotype" w:hAnsi="Palatino Linotype" w:cstheme="majorBidi"/>
              </w:rPr>
              <w:t>(3)</w:t>
            </w:r>
          </w:p>
        </w:tc>
        <w:tc>
          <w:tcPr>
            <w:tcW w:w="5400" w:type="dxa"/>
            <w:gridSpan w:val="3"/>
          </w:tcPr>
          <w:p w14:paraId="16FCFF10" w14:textId="69FB3BC8" w:rsidR="00052287" w:rsidRPr="00321931" w:rsidRDefault="002A1A1A"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w:t>
            </w:r>
            <w:r w:rsidR="00052287" w:rsidRPr="00321931">
              <w:rPr>
                <w:rFonts w:ascii="Palatino Linotype" w:hAnsi="Palatino Linotype" w:cstheme="majorBidi"/>
              </w:rPr>
              <w:t xml:space="preserve">description of </w:t>
            </w:r>
            <w:r w:rsidR="00052287"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00052287" w:rsidRPr="003772B6">
              <w:rPr>
                <w:rFonts w:ascii="Palatino Linotype" w:hAnsi="Palatino Linotype" w:cstheme="majorBidi"/>
                <w:highlight w:val="cyan"/>
              </w:rPr>
              <w:t>’s</w:t>
            </w:r>
            <w:r w:rsidR="00052287" w:rsidRPr="00321931">
              <w:rPr>
                <w:rFonts w:ascii="Palatino Linotype" w:hAnsi="Palatino Linotype" w:cstheme="majorBidi"/>
              </w:rPr>
              <w:t xml:space="preserve"> business</w:t>
            </w:r>
            <w:r w:rsidR="006A7E05" w:rsidRPr="00321931">
              <w:rPr>
                <w:rFonts w:ascii="Palatino Linotype" w:hAnsi="Palatino Linotype" w:cstheme="majorBidi"/>
              </w:rPr>
              <w:t xml:space="preserve"> in the accounting period</w:t>
            </w:r>
            <w:r w:rsidR="00A57D88" w:rsidRPr="00321931">
              <w:rPr>
                <w:rFonts w:ascii="Palatino Linotype" w:hAnsi="Palatino Linotype" w:cstheme="majorBidi"/>
              </w:rPr>
              <w:t>,</w:t>
            </w:r>
            <w:r w:rsidR="00052287" w:rsidRPr="00321931">
              <w:rPr>
                <w:rFonts w:ascii="Palatino Linotype" w:hAnsi="Palatino Linotype" w:cstheme="majorBidi"/>
              </w:rPr>
              <w:t xml:space="preserve"> including:</w:t>
            </w:r>
          </w:p>
        </w:tc>
      </w:tr>
      <w:tr w:rsidR="00415A84" w:rsidRPr="00321931" w14:paraId="760A2696" w14:textId="77777777" w:rsidTr="007E3C0D">
        <w:trPr>
          <w:trHeight w:val="783"/>
        </w:trPr>
        <w:tc>
          <w:tcPr>
            <w:tcW w:w="1890" w:type="dxa"/>
          </w:tcPr>
          <w:p w14:paraId="468F8DC2" w14:textId="77777777" w:rsidR="00052287" w:rsidRPr="00933C7D" w:rsidRDefault="00052287" w:rsidP="003772B6">
            <w:pPr>
              <w:spacing w:line="276" w:lineRule="auto"/>
              <w:rPr>
                <w:rFonts w:ascii="Palatino Linotype" w:hAnsi="Palatino Linotype" w:cstheme="majorBidi"/>
                <w:b/>
                <w:bCs/>
                <w:sz w:val="18"/>
                <w:szCs w:val="18"/>
              </w:rPr>
            </w:pPr>
          </w:p>
        </w:tc>
        <w:tc>
          <w:tcPr>
            <w:tcW w:w="630" w:type="dxa"/>
          </w:tcPr>
          <w:p w14:paraId="0C3E1C2E" w14:textId="77777777" w:rsidR="00052287" w:rsidRPr="00321931" w:rsidRDefault="00052287" w:rsidP="003772B6">
            <w:pPr>
              <w:spacing w:line="276" w:lineRule="auto"/>
              <w:jc w:val="both"/>
              <w:rPr>
                <w:rFonts w:ascii="Palatino Linotype" w:hAnsi="Palatino Linotype" w:cstheme="majorBidi"/>
              </w:rPr>
            </w:pPr>
          </w:p>
        </w:tc>
        <w:tc>
          <w:tcPr>
            <w:tcW w:w="540" w:type="dxa"/>
          </w:tcPr>
          <w:p w14:paraId="45CBCCE1" w14:textId="77777777" w:rsidR="00052287" w:rsidRPr="00321931" w:rsidRDefault="00052287" w:rsidP="003772B6">
            <w:pPr>
              <w:spacing w:line="276" w:lineRule="auto"/>
              <w:jc w:val="both"/>
              <w:rPr>
                <w:rFonts w:ascii="Palatino Linotype" w:hAnsi="Palatino Linotype" w:cstheme="majorBidi"/>
              </w:rPr>
            </w:pPr>
          </w:p>
        </w:tc>
        <w:tc>
          <w:tcPr>
            <w:tcW w:w="630" w:type="dxa"/>
          </w:tcPr>
          <w:p w14:paraId="367FA81C" w14:textId="77777777" w:rsidR="00052287" w:rsidRPr="00321931" w:rsidRDefault="00052287" w:rsidP="00F35E76">
            <w:pPr>
              <w:jc w:val="both"/>
              <w:rPr>
                <w:rFonts w:ascii="Palatino Linotype" w:hAnsi="Palatino Linotype" w:cstheme="majorBidi"/>
              </w:rPr>
            </w:pPr>
          </w:p>
        </w:tc>
        <w:tc>
          <w:tcPr>
            <w:tcW w:w="630" w:type="dxa"/>
          </w:tcPr>
          <w:p w14:paraId="5A6101E1" w14:textId="77777777" w:rsidR="00052287" w:rsidRPr="00321931" w:rsidRDefault="00052287" w:rsidP="003772B6">
            <w:pPr>
              <w:spacing w:line="276" w:lineRule="auto"/>
              <w:jc w:val="both"/>
              <w:rPr>
                <w:rFonts w:ascii="Palatino Linotype" w:hAnsi="Palatino Linotype" w:cstheme="majorBidi"/>
              </w:rPr>
            </w:pPr>
            <w:r w:rsidRPr="00321931">
              <w:rPr>
                <w:rFonts w:ascii="Palatino Linotype" w:hAnsi="Palatino Linotype" w:cstheme="majorBidi"/>
              </w:rPr>
              <w:t>(</w:t>
            </w:r>
            <w:proofErr w:type="spellStart"/>
            <w:r w:rsidRPr="00321931">
              <w:rPr>
                <w:rFonts w:ascii="Palatino Linotype" w:hAnsi="Palatino Linotype" w:cstheme="majorBidi"/>
              </w:rPr>
              <w:t>i</w:t>
            </w:r>
            <w:proofErr w:type="spellEnd"/>
            <w:r w:rsidRPr="00321931">
              <w:rPr>
                <w:rFonts w:ascii="Palatino Linotype" w:hAnsi="Palatino Linotype" w:cstheme="majorBidi"/>
              </w:rPr>
              <w:t>)</w:t>
            </w:r>
          </w:p>
        </w:tc>
        <w:tc>
          <w:tcPr>
            <w:tcW w:w="4770" w:type="dxa"/>
            <w:gridSpan w:val="2"/>
          </w:tcPr>
          <w:p w14:paraId="5691E80F" w14:textId="77777777" w:rsidR="00052287" w:rsidRPr="00321931" w:rsidRDefault="00184009"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business, products and services, geographic markets, intangible assets and key competitors in that accounting </w:t>
            </w:r>
            <w:proofErr w:type="gramStart"/>
            <w:r w:rsidRPr="00321931">
              <w:rPr>
                <w:rFonts w:ascii="Palatino Linotype" w:hAnsi="Palatino Linotype" w:cstheme="majorBidi"/>
              </w:rPr>
              <w:t>period;</w:t>
            </w:r>
            <w:proofErr w:type="gramEnd"/>
          </w:p>
          <w:p w14:paraId="368060B1" w14:textId="77777777" w:rsidR="00184009" w:rsidRPr="00321931" w:rsidRDefault="00184009" w:rsidP="003772B6">
            <w:pPr>
              <w:spacing w:line="276" w:lineRule="auto"/>
              <w:jc w:val="both"/>
              <w:rPr>
                <w:rFonts w:ascii="Palatino Linotype" w:hAnsi="Palatino Linotype" w:cstheme="majorBidi"/>
              </w:rPr>
            </w:pPr>
          </w:p>
        </w:tc>
      </w:tr>
      <w:tr w:rsidR="00415A84" w:rsidRPr="00321931" w14:paraId="48DC6511" w14:textId="77777777" w:rsidTr="007E3C0D">
        <w:trPr>
          <w:trHeight w:val="783"/>
        </w:trPr>
        <w:tc>
          <w:tcPr>
            <w:tcW w:w="1890" w:type="dxa"/>
          </w:tcPr>
          <w:p w14:paraId="7E7742D9" w14:textId="77777777" w:rsidR="00184009" w:rsidRPr="00933C7D" w:rsidRDefault="00184009" w:rsidP="003772B6">
            <w:pPr>
              <w:spacing w:line="276" w:lineRule="auto"/>
              <w:rPr>
                <w:rFonts w:ascii="Palatino Linotype" w:hAnsi="Palatino Linotype" w:cstheme="majorBidi"/>
                <w:b/>
                <w:bCs/>
                <w:sz w:val="18"/>
                <w:szCs w:val="18"/>
              </w:rPr>
            </w:pPr>
          </w:p>
        </w:tc>
        <w:tc>
          <w:tcPr>
            <w:tcW w:w="630" w:type="dxa"/>
          </w:tcPr>
          <w:p w14:paraId="404C7080" w14:textId="77777777" w:rsidR="00184009" w:rsidRPr="00321931" w:rsidRDefault="00184009" w:rsidP="003772B6">
            <w:pPr>
              <w:spacing w:line="276" w:lineRule="auto"/>
              <w:jc w:val="both"/>
              <w:rPr>
                <w:rFonts w:ascii="Palatino Linotype" w:hAnsi="Palatino Linotype" w:cstheme="majorBidi"/>
              </w:rPr>
            </w:pPr>
          </w:p>
        </w:tc>
        <w:tc>
          <w:tcPr>
            <w:tcW w:w="540" w:type="dxa"/>
          </w:tcPr>
          <w:p w14:paraId="4F84A71B" w14:textId="77777777" w:rsidR="00184009" w:rsidRPr="00321931" w:rsidRDefault="00184009" w:rsidP="003772B6">
            <w:pPr>
              <w:spacing w:line="276" w:lineRule="auto"/>
              <w:jc w:val="both"/>
              <w:rPr>
                <w:rFonts w:ascii="Palatino Linotype" w:hAnsi="Palatino Linotype" w:cstheme="majorBidi"/>
              </w:rPr>
            </w:pPr>
          </w:p>
        </w:tc>
        <w:tc>
          <w:tcPr>
            <w:tcW w:w="630" w:type="dxa"/>
          </w:tcPr>
          <w:p w14:paraId="2F0B9106" w14:textId="77777777" w:rsidR="00184009" w:rsidRPr="00321931" w:rsidRDefault="00184009" w:rsidP="00F35E76">
            <w:pPr>
              <w:jc w:val="both"/>
              <w:rPr>
                <w:rFonts w:ascii="Palatino Linotype" w:hAnsi="Palatino Linotype" w:cstheme="majorBidi"/>
              </w:rPr>
            </w:pPr>
          </w:p>
        </w:tc>
        <w:tc>
          <w:tcPr>
            <w:tcW w:w="630" w:type="dxa"/>
          </w:tcPr>
          <w:p w14:paraId="69C76154" w14:textId="77777777" w:rsidR="00184009" w:rsidRPr="00321931" w:rsidRDefault="00184009" w:rsidP="003772B6">
            <w:pPr>
              <w:spacing w:line="276" w:lineRule="auto"/>
              <w:jc w:val="both"/>
              <w:rPr>
                <w:rFonts w:ascii="Palatino Linotype" w:hAnsi="Palatino Linotype" w:cstheme="majorBidi"/>
              </w:rPr>
            </w:pPr>
            <w:r w:rsidRPr="00321931">
              <w:rPr>
                <w:rFonts w:ascii="Palatino Linotype" w:hAnsi="Palatino Linotype" w:cstheme="majorBidi"/>
              </w:rPr>
              <w:t>(ii)</w:t>
            </w:r>
          </w:p>
        </w:tc>
        <w:tc>
          <w:tcPr>
            <w:tcW w:w="4770" w:type="dxa"/>
            <w:gridSpan w:val="2"/>
          </w:tcPr>
          <w:p w14:paraId="20EDBEAA" w14:textId="66315EB7" w:rsidR="00184009" w:rsidRPr="00321931" w:rsidRDefault="00D80C36"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industry, market, regulatory and economic conditions in which </w:t>
            </w:r>
            <w:r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Pr="00321931">
              <w:rPr>
                <w:rFonts w:ascii="Palatino Linotype" w:hAnsi="Palatino Linotype" w:cstheme="majorBidi"/>
              </w:rPr>
              <w:t xml:space="preserve"> operates </w:t>
            </w:r>
            <w:proofErr w:type="gramStart"/>
            <w:r w:rsidRPr="00321931">
              <w:rPr>
                <w:rFonts w:ascii="Palatino Linotype" w:hAnsi="Palatino Linotype" w:cstheme="majorBidi"/>
              </w:rPr>
              <w:t>in;</w:t>
            </w:r>
            <w:proofErr w:type="gramEnd"/>
          </w:p>
          <w:p w14:paraId="5BB84FDB" w14:textId="77777777" w:rsidR="00D80C36" w:rsidRPr="00321931" w:rsidRDefault="00D80C36" w:rsidP="003772B6">
            <w:pPr>
              <w:spacing w:line="276" w:lineRule="auto"/>
              <w:jc w:val="both"/>
              <w:rPr>
                <w:rFonts w:ascii="Palatino Linotype" w:hAnsi="Palatino Linotype" w:cstheme="majorBidi"/>
              </w:rPr>
            </w:pPr>
          </w:p>
        </w:tc>
      </w:tr>
      <w:tr w:rsidR="00415A84" w:rsidRPr="00321931" w14:paraId="5AAAEDF2" w14:textId="77777777" w:rsidTr="007E3C0D">
        <w:trPr>
          <w:trHeight w:val="783"/>
        </w:trPr>
        <w:tc>
          <w:tcPr>
            <w:tcW w:w="1890" w:type="dxa"/>
          </w:tcPr>
          <w:p w14:paraId="4A1E1537" w14:textId="77777777" w:rsidR="00D80C36" w:rsidRPr="00933C7D" w:rsidRDefault="00D80C36" w:rsidP="003772B6">
            <w:pPr>
              <w:spacing w:line="276" w:lineRule="auto"/>
              <w:rPr>
                <w:rFonts w:ascii="Palatino Linotype" w:hAnsi="Palatino Linotype" w:cstheme="majorBidi"/>
                <w:b/>
                <w:bCs/>
                <w:sz w:val="18"/>
                <w:szCs w:val="18"/>
              </w:rPr>
            </w:pPr>
          </w:p>
        </w:tc>
        <w:tc>
          <w:tcPr>
            <w:tcW w:w="630" w:type="dxa"/>
          </w:tcPr>
          <w:p w14:paraId="7F20C93A" w14:textId="77777777" w:rsidR="00D80C36" w:rsidRPr="00321931" w:rsidRDefault="00D80C36" w:rsidP="003772B6">
            <w:pPr>
              <w:spacing w:line="276" w:lineRule="auto"/>
              <w:jc w:val="both"/>
              <w:rPr>
                <w:rFonts w:ascii="Palatino Linotype" w:hAnsi="Palatino Linotype" w:cstheme="majorBidi"/>
              </w:rPr>
            </w:pPr>
          </w:p>
        </w:tc>
        <w:tc>
          <w:tcPr>
            <w:tcW w:w="540" w:type="dxa"/>
          </w:tcPr>
          <w:p w14:paraId="27D4A5A4" w14:textId="77777777" w:rsidR="00D80C36" w:rsidRPr="00321931" w:rsidRDefault="00D80C36" w:rsidP="003772B6">
            <w:pPr>
              <w:spacing w:line="276" w:lineRule="auto"/>
              <w:jc w:val="both"/>
              <w:rPr>
                <w:rFonts w:ascii="Palatino Linotype" w:hAnsi="Palatino Linotype" w:cstheme="majorBidi"/>
              </w:rPr>
            </w:pPr>
          </w:p>
        </w:tc>
        <w:tc>
          <w:tcPr>
            <w:tcW w:w="630" w:type="dxa"/>
          </w:tcPr>
          <w:p w14:paraId="23E349E4" w14:textId="77777777" w:rsidR="00D80C36" w:rsidRPr="00321931" w:rsidRDefault="00D80C36" w:rsidP="00F35E76">
            <w:pPr>
              <w:jc w:val="both"/>
              <w:rPr>
                <w:rFonts w:ascii="Palatino Linotype" w:hAnsi="Palatino Linotype" w:cstheme="majorBidi"/>
              </w:rPr>
            </w:pPr>
          </w:p>
        </w:tc>
        <w:tc>
          <w:tcPr>
            <w:tcW w:w="630" w:type="dxa"/>
          </w:tcPr>
          <w:p w14:paraId="619663FA" w14:textId="77777777" w:rsidR="00D80C36" w:rsidRPr="00321931" w:rsidRDefault="00D80C36" w:rsidP="003772B6">
            <w:pPr>
              <w:spacing w:line="276" w:lineRule="auto"/>
              <w:jc w:val="both"/>
              <w:rPr>
                <w:rFonts w:ascii="Palatino Linotype" w:hAnsi="Palatino Linotype" w:cstheme="majorBidi"/>
              </w:rPr>
            </w:pPr>
            <w:r w:rsidRPr="00321931">
              <w:rPr>
                <w:rFonts w:ascii="Palatino Linotype" w:hAnsi="Palatino Linotype" w:cstheme="majorBidi"/>
              </w:rPr>
              <w:t>(iii)</w:t>
            </w:r>
          </w:p>
        </w:tc>
        <w:tc>
          <w:tcPr>
            <w:tcW w:w="4770" w:type="dxa"/>
            <w:gridSpan w:val="2"/>
          </w:tcPr>
          <w:p w14:paraId="618657D8" w14:textId="47E20DF2" w:rsidR="00D80C36" w:rsidRPr="00321931" w:rsidRDefault="002A1A1A" w:rsidP="003772B6">
            <w:pPr>
              <w:spacing w:line="276" w:lineRule="auto"/>
              <w:jc w:val="both"/>
              <w:rPr>
                <w:rFonts w:ascii="Palatino Linotype" w:hAnsi="Palatino Linotype" w:cstheme="majorBidi"/>
              </w:rPr>
            </w:pPr>
            <w:r w:rsidRPr="00321931">
              <w:rPr>
                <w:rFonts w:ascii="Palatino Linotype" w:hAnsi="Palatino Linotype" w:cstheme="majorBidi"/>
              </w:rPr>
              <w:t xml:space="preserve">business </w:t>
            </w:r>
            <w:r w:rsidR="00D02462" w:rsidRPr="00321931">
              <w:rPr>
                <w:rFonts w:ascii="Palatino Linotype" w:hAnsi="Palatino Linotype" w:cstheme="majorBidi"/>
              </w:rPr>
              <w:t xml:space="preserve">models and strategies of </w:t>
            </w:r>
            <w:r w:rsidR="00D02462"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00D02462" w:rsidRPr="003772B6">
              <w:rPr>
                <w:rFonts w:ascii="Palatino Linotype" w:hAnsi="Palatino Linotype" w:cstheme="majorBidi"/>
                <w:highlight w:val="cyan"/>
              </w:rPr>
              <w:t>,</w:t>
            </w:r>
            <w:r w:rsidR="00D02462" w:rsidRPr="00321931">
              <w:rPr>
                <w:rFonts w:ascii="Palatino Linotype" w:hAnsi="Palatino Linotype" w:cstheme="majorBidi"/>
              </w:rPr>
              <w:t xml:space="preserve"> and any </w:t>
            </w:r>
            <w:r w:rsidR="006C2140" w:rsidRPr="00321931">
              <w:rPr>
                <w:rFonts w:ascii="Palatino Linotype" w:hAnsi="Palatino Linotype" w:cstheme="majorBidi"/>
              </w:rPr>
              <w:t xml:space="preserve">changes to its structure through restructuring, acquisition or </w:t>
            </w:r>
            <w:proofErr w:type="gramStart"/>
            <w:r w:rsidR="006C2140" w:rsidRPr="00321931">
              <w:rPr>
                <w:rFonts w:ascii="Palatino Linotype" w:hAnsi="Palatino Linotype" w:cstheme="majorBidi"/>
              </w:rPr>
              <w:t>divestiture;</w:t>
            </w:r>
            <w:proofErr w:type="gramEnd"/>
          </w:p>
          <w:p w14:paraId="79E4D421" w14:textId="77777777" w:rsidR="006C2140" w:rsidRPr="00321931" w:rsidRDefault="006C2140" w:rsidP="003772B6">
            <w:pPr>
              <w:spacing w:line="276" w:lineRule="auto"/>
              <w:jc w:val="both"/>
              <w:rPr>
                <w:rFonts w:ascii="Palatino Linotype" w:hAnsi="Palatino Linotype" w:cstheme="majorBidi"/>
              </w:rPr>
            </w:pPr>
          </w:p>
        </w:tc>
      </w:tr>
      <w:tr w:rsidR="00415A84" w:rsidRPr="00321931" w14:paraId="35C3FED7" w14:textId="77777777" w:rsidTr="007E3C0D">
        <w:trPr>
          <w:trHeight w:val="783"/>
        </w:trPr>
        <w:tc>
          <w:tcPr>
            <w:tcW w:w="1890" w:type="dxa"/>
          </w:tcPr>
          <w:p w14:paraId="6A7755C5" w14:textId="77777777" w:rsidR="002F3DD7" w:rsidRPr="00933C7D" w:rsidRDefault="002F3DD7" w:rsidP="003772B6">
            <w:pPr>
              <w:spacing w:line="276" w:lineRule="auto"/>
              <w:rPr>
                <w:rFonts w:ascii="Palatino Linotype" w:hAnsi="Palatino Linotype" w:cstheme="majorBidi"/>
                <w:b/>
                <w:bCs/>
                <w:sz w:val="18"/>
                <w:szCs w:val="18"/>
              </w:rPr>
            </w:pPr>
            <w:r w:rsidRPr="00933C7D">
              <w:rPr>
                <w:rFonts w:ascii="Palatino Linotype" w:hAnsi="Palatino Linotype" w:cstheme="majorBidi"/>
                <w:b/>
                <w:bCs/>
                <w:sz w:val="18"/>
                <w:szCs w:val="18"/>
              </w:rPr>
              <w:t xml:space="preserve">Controlled transactions </w:t>
            </w:r>
          </w:p>
        </w:tc>
        <w:tc>
          <w:tcPr>
            <w:tcW w:w="630" w:type="dxa"/>
          </w:tcPr>
          <w:p w14:paraId="7F22663E" w14:textId="77777777" w:rsidR="002F3DD7" w:rsidRPr="00321931" w:rsidRDefault="002F3DD7" w:rsidP="003772B6">
            <w:pPr>
              <w:spacing w:line="276" w:lineRule="auto"/>
              <w:jc w:val="both"/>
              <w:rPr>
                <w:rFonts w:ascii="Palatino Linotype" w:hAnsi="Palatino Linotype" w:cstheme="majorBidi"/>
              </w:rPr>
            </w:pPr>
          </w:p>
        </w:tc>
        <w:tc>
          <w:tcPr>
            <w:tcW w:w="540" w:type="dxa"/>
          </w:tcPr>
          <w:p w14:paraId="65B94624" w14:textId="77777777" w:rsidR="002F3DD7" w:rsidRPr="00321931" w:rsidRDefault="002F3DD7" w:rsidP="003772B6">
            <w:pPr>
              <w:spacing w:line="276" w:lineRule="auto"/>
              <w:jc w:val="both"/>
              <w:rPr>
                <w:rFonts w:ascii="Palatino Linotype" w:hAnsi="Palatino Linotype" w:cstheme="majorBidi"/>
              </w:rPr>
            </w:pPr>
            <w:r w:rsidRPr="00321931">
              <w:rPr>
                <w:rFonts w:ascii="Palatino Linotype" w:hAnsi="Palatino Linotype" w:cstheme="majorBidi"/>
              </w:rPr>
              <w:t>(b)</w:t>
            </w:r>
          </w:p>
        </w:tc>
        <w:tc>
          <w:tcPr>
            <w:tcW w:w="6030" w:type="dxa"/>
            <w:gridSpan w:val="4"/>
          </w:tcPr>
          <w:p w14:paraId="0FC4C965" w14:textId="504CFA4A" w:rsidR="002F3DD7" w:rsidRPr="00321931" w:rsidRDefault="002F3DD7" w:rsidP="003772B6">
            <w:pPr>
              <w:spacing w:line="276" w:lineRule="auto"/>
              <w:jc w:val="both"/>
              <w:rPr>
                <w:rFonts w:ascii="Palatino Linotype" w:hAnsi="Palatino Linotype" w:cstheme="majorBidi"/>
              </w:rPr>
            </w:pPr>
            <w:r w:rsidRPr="00321931">
              <w:rPr>
                <w:rFonts w:ascii="Palatino Linotype" w:hAnsi="Palatino Linotype" w:cstheme="majorBidi"/>
              </w:rPr>
              <w:t>A description of</w:t>
            </w:r>
            <w:r w:rsidR="002A1A1A" w:rsidRPr="00321931">
              <w:rPr>
                <w:rFonts w:ascii="Palatino Linotype" w:hAnsi="Palatino Linotype" w:cstheme="majorBidi"/>
              </w:rPr>
              <w:t xml:space="preserve"> </w:t>
            </w:r>
            <w:r w:rsidRPr="00321931">
              <w:rPr>
                <w:rFonts w:ascii="Palatino Linotype" w:hAnsi="Palatino Linotype" w:cstheme="majorBidi"/>
              </w:rPr>
              <w:t xml:space="preserve">transactions between </w:t>
            </w:r>
            <w:r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Pr="00321931">
              <w:rPr>
                <w:rFonts w:ascii="Palatino Linotype" w:hAnsi="Palatino Linotype" w:cstheme="majorBidi"/>
              </w:rPr>
              <w:t xml:space="preserve"> and its </w:t>
            </w:r>
            <w:r w:rsidR="00D6067A" w:rsidRPr="00321931">
              <w:rPr>
                <w:rFonts w:ascii="Palatino Linotype" w:hAnsi="Palatino Linotype" w:cstheme="majorBidi"/>
              </w:rPr>
              <w:t>associated</w:t>
            </w:r>
            <w:r w:rsidRPr="00321931">
              <w:rPr>
                <w:rFonts w:ascii="Palatino Linotype" w:hAnsi="Palatino Linotype" w:cstheme="majorBidi"/>
              </w:rPr>
              <w:t xml:space="preserve"> parties in</w:t>
            </w:r>
            <w:r w:rsidR="00D6067A" w:rsidRPr="00321931">
              <w:rPr>
                <w:rFonts w:ascii="Palatino Linotype" w:hAnsi="Palatino Linotype" w:cstheme="majorBidi"/>
              </w:rPr>
              <w:t xml:space="preserve"> the</w:t>
            </w:r>
            <w:r w:rsidRPr="00321931">
              <w:rPr>
                <w:rFonts w:ascii="Palatino Linotype" w:hAnsi="Palatino Linotype" w:cstheme="majorBidi"/>
              </w:rPr>
              <w:t xml:space="preserve"> accounting period, including:</w:t>
            </w:r>
          </w:p>
          <w:p w14:paraId="0B6ED3E7" w14:textId="77777777" w:rsidR="00737AFC" w:rsidRPr="00321931" w:rsidRDefault="00737AFC" w:rsidP="003772B6">
            <w:pPr>
              <w:spacing w:line="276" w:lineRule="auto"/>
              <w:jc w:val="both"/>
              <w:rPr>
                <w:rFonts w:ascii="Palatino Linotype" w:hAnsi="Palatino Linotype" w:cstheme="majorBidi"/>
              </w:rPr>
            </w:pPr>
          </w:p>
        </w:tc>
      </w:tr>
      <w:tr w:rsidR="00415A84" w:rsidRPr="00321931" w14:paraId="536ED014" w14:textId="77777777" w:rsidTr="007E3C0D">
        <w:trPr>
          <w:trHeight w:val="1737"/>
        </w:trPr>
        <w:tc>
          <w:tcPr>
            <w:tcW w:w="1890" w:type="dxa"/>
          </w:tcPr>
          <w:p w14:paraId="3B14413E" w14:textId="77777777" w:rsidR="00737AFC" w:rsidRPr="00933C7D" w:rsidRDefault="00737AFC" w:rsidP="003772B6">
            <w:pPr>
              <w:spacing w:line="276" w:lineRule="auto"/>
              <w:rPr>
                <w:rFonts w:ascii="Palatino Linotype" w:hAnsi="Palatino Linotype" w:cstheme="majorBidi"/>
                <w:b/>
                <w:bCs/>
                <w:sz w:val="18"/>
                <w:szCs w:val="18"/>
              </w:rPr>
            </w:pPr>
          </w:p>
        </w:tc>
        <w:tc>
          <w:tcPr>
            <w:tcW w:w="630" w:type="dxa"/>
          </w:tcPr>
          <w:p w14:paraId="1317B7C6" w14:textId="77777777" w:rsidR="00737AFC" w:rsidRPr="00321931" w:rsidRDefault="00737AFC" w:rsidP="003772B6">
            <w:pPr>
              <w:spacing w:line="276" w:lineRule="auto"/>
              <w:jc w:val="both"/>
              <w:rPr>
                <w:rFonts w:ascii="Palatino Linotype" w:hAnsi="Palatino Linotype" w:cstheme="majorBidi"/>
              </w:rPr>
            </w:pPr>
          </w:p>
        </w:tc>
        <w:tc>
          <w:tcPr>
            <w:tcW w:w="540" w:type="dxa"/>
          </w:tcPr>
          <w:p w14:paraId="0FF1EF04" w14:textId="77777777" w:rsidR="00737AFC" w:rsidRPr="00321931" w:rsidRDefault="00737AFC" w:rsidP="003772B6">
            <w:pPr>
              <w:spacing w:line="276" w:lineRule="auto"/>
              <w:jc w:val="both"/>
              <w:rPr>
                <w:rFonts w:ascii="Palatino Linotype" w:hAnsi="Palatino Linotype" w:cstheme="majorBidi"/>
              </w:rPr>
            </w:pPr>
          </w:p>
        </w:tc>
        <w:tc>
          <w:tcPr>
            <w:tcW w:w="630" w:type="dxa"/>
          </w:tcPr>
          <w:p w14:paraId="4F6B15E3" w14:textId="77777777" w:rsidR="00737AFC" w:rsidRPr="00321931" w:rsidRDefault="00737AFC" w:rsidP="003772B6">
            <w:pPr>
              <w:spacing w:line="276" w:lineRule="auto"/>
              <w:jc w:val="both"/>
              <w:rPr>
                <w:rFonts w:ascii="Palatino Linotype" w:hAnsi="Palatino Linotype" w:cstheme="majorBidi"/>
              </w:rPr>
            </w:pPr>
            <w:r w:rsidRPr="00321931">
              <w:rPr>
                <w:rFonts w:ascii="Palatino Linotype" w:hAnsi="Palatino Linotype" w:cstheme="majorBidi"/>
              </w:rPr>
              <w:t>(1)</w:t>
            </w:r>
          </w:p>
        </w:tc>
        <w:tc>
          <w:tcPr>
            <w:tcW w:w="5400" w:type="dxa"/>
            <w:gridSpan w:val="3"/>
          </w:tcPr>
          <w:p w14:paraId="5A339076" w14:textId="687159E2" w:rsidR="00737AFC" w:rsidRPr="00321931" w:rsidRDefault="002A1A1A" w:rsidP="003772B6">
            <w:pPr>
              <w:spacing w:line="276" w:lineRule="auto"/>
              <w:jc w:val="both"/>
              <w:rPr>
                <w:rFonts w:ascii="Palatino Linotype" w:hAnsi="Palatino Linotype" w:cstheme="majorBidi"/>
              </w:rPr>
            </w:pPr>
            <w:r w:rsidRPr="00321931">
              <w:rPr>
                <w:rFonts w:ascii="Palatino Linotype" w:hAnsi="Palatino Linotype" w:cstheme="majorBidi"/>
              </w:rPr>
              <w:t xml:space="preserve">details </w:t>
            </w:r>
            <w:r w:rsidR="00E65874" w:rsidRPr="00321931">
              <w:rPr>
                <w:rFonts w:ascii="Palatino Linotype" w:hAnsi="Palatino Linotype" w:cstheme="majorBidi"/>
              </w:rPr>
              <w:t xml:space="preserve">of each transaction, including the identity of the </w:t>
            </w:r>
            <w:r w:rsidR="00E852BE" w:rsidRPr="00321931">
              <w:rPr>
                <w:rFonts w:ascii="Palatino Linotype" w:hAnsi="Palatino Linotype" w:cstheme="majorBidi"/>
              </w:rPr>
              <w:t>associated</w:t>
            </w:r>
            <w:r w:rsidR="00E65874" w:rsidRPr="00321931">
              <w:rPr>
                <w:rFonts w:ascii="Palatino Linotype" w:hAnsi="Palatino Linotype" w:cstheme="majorBidi"/>
              </w:rPr>
              <w:t xml:space="preserve"> party, country in which the </w:t>
            </w:r>
            <w:r w:rsidR="00E852BE" w:rsidRPr="00321931">
              <w:rPr>
                <w:rFonts w:ascii="Palatino Linotype" w:hAnsi="Palatino Linotype" w:cstheme="majorBidi"/>
              </w:rPr>
              <w:t xml:space="preserve">associated </w:t>
            </w:r>
            <w:r w:rsidR="00E65874" w:rsidRPr="00321931">
              <w:rPr>
                <w:rFonts w:ascii="Palatino Linotype" w:hAnsi="Palatino Linotype" w:cstheme="majorBidi"/>
              </w:rPr>
              <w:t xml:space="preserve">party is incorporated, registered or established, the relationship between </w:t>
            </w:r>
            <w:r w:rsidR="00E65874"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00E65874" w:rsidRPr="00321931">
              <w:rPr>
                <w:rFonts w:ascii="Palatino Linotype" w:hAnsi="Palatino Linotype" w:cstheme="majorBidi"/>
              </w:rPr>
              <w:t xml:space="preserve"> and the </w:t>
            </w:r>
            <w:r w:rsidR="00E852BE" w:rsidRPr="00321931">
              <w:rPr>
                <w:rFonts w:ascii="Palatino Linotype" w:hAnsi="Palatino Linotype" w:cstheme="majorBidi"/>
              </w:rPr>
              <w:t>associated</w:t>
            </w:r>
            <w:r w:rsidR="00E65874" w:rsidRPr="00321931">
              <w:rPr>
                <w:rFonts w:ascii="Palatino Linotype" w:hAnsi="Palatino Linotype" w:cstheme="majorBidi"/>
              </w:rPr>
              <w:t xml:space="preserve"> party, and </w:t>
            </w:r>
            <w:r w:rsidR="00E852BE" w:rsidRPr="00321931">
              <w:rPr>
                <w:rFonts w:ascii="Palatino Linotype" w:hAnsi="Palatino Linotype" w:cstheme="majorBidi"/>
              </w:rPr>
              <w:t>information of each transaction including the</w:t>
            </w:r>
            <w:r w:rsidR="00E65874" w:rsidRPr="00321931">
              <w:rPr>
                <w:rFonts w:ascii="Palatino Linotype" w:hAnsi="Palatino Linotype" w:cstheme="majorBidi"/>
              </w:rPr>
              <w:t xml:space="preserve"> value of the </w:t>
            </w:r>
            <w:proofErr w:type="gramStart"/>
            <w:r w:rsidR="00E65874" w:rsidRPr="00321931">
              <w:rPr>
                <w:rFonts w:ascii="Palatino Linotype" w:hAnsi="Palatino Linotype" w:cstheme="majorBidi"/>
              </w:rPr>
              <w:t>transaction;</w:t>
            </w:r>
            <w:proofErr w:type="gramEnd"/>
          </w:p>
          <w:p w14:paraId="0739E765" w14:textId="77777777" w:rsidR="00E65874" w:rsidRPr="00321931" w:rsidRDefault="00E65874" w:rsidP="003772B6">
            <w:pPr>
              <w:spacing w:line="276" w:lineRule="auto"/>
              <w:jc w:val="both"/>
              <w:rPr>
                <w:rFonts w:ascii="Palatino Linotype" w:hAnsi="Palatino Linotype" w:cstheme="majorBidi"/>
              </w:rPr>
            </w:pPr>
          </w:p>
        </w:tc>
      </w:tr>
      <w:tr w:rsidR="00415A84" w:rsidRPr="00321931" w14:paraId="3151B6A2" w14:textId="77777777" w:rsidTr="007E3C0D">
        <w:trPr>
          <w:trHeight w:val="585"/>
        </w:trPr>
        <w:tc>
          <w:tcPr>
            <w:tcW w:w="1890" w:type="dxa"/>
          </w:tcPr>
          <w:p w14:paraId="5D31668E" w14:textId="77777777" w:rsidR="00E65874" w:rsidRPr="00933C7D" w:rsidRDefault="00E65874" w:rsidP="003772B6">
            <w:pPr>
              <w:spacing w:line="276" w:lineRule="auto"/>
              <w:rPr>
                <w:rFonts w:ascii="Palatino Linotype" w:hAnsi="Palatino Linotype" w:cstheme="majorBidi"/>
                <w:b/>
                <w:bCs/>
                <w:sz w:val="18"/>
                <w:szCs w:val="18"/>
              </w:rPr>
            </w:pPr>
          </w:p>
        </w:tc>
        <w:tc>
          <w:tcPr>
            <w:tcW w:w="630" w:type="dxa"/>
          </w:tcPr>
          <w:p w14:paraId="4B3846E1" w14:textId="77777777" w:rsidR="00E65874" w:rsidRPr="00321931" w:rsidRDefault="00E65874" w:rsidP="003772B6">
            <w:pPr>
              <w:spacing w:line="276" w:lineRule="auto"/>
              <w:jc w:val="both"/>
              <w:rPr>
                <w:rFonts w:ascii="Palatino Linotype" w:hAnsi="Palatino Linotype" w:cstheme="majorBidi"/>
              </w:rPr>
            </w:pPr>
          </w:p>
        </w:tc>
        <w:tc>
          <w:tcPr>
            <w:tcW w:w="540" w:type="dxa"/>
          </w:tcPr>
          <w:p w14:paraId="4903F1CA" w14:textId="77777777" w:rsidR="00E65874" w:rsidRPr="00321931" w:rsidRDefault="00E65874" w:rsidP="003772B6">
            <w:pPr>
              <w:spacing w:line="276" w:lineRule="auto"/>
              <w:jc w:val="both"/>
              <w:rPr>
                <w:rFonts w:ascii="Palatino Linotype" w:hAnsi="Palatino Linotype" w:cstheme="majorBidi"/>
              </w:rPr>
            </w:pPr>
          </w:p>
        </w:tc>
        <w:tc>
          <w:tcPr>
            <w:tcW w:w="630" w:type="dxa"/>
          </w:tcPr>
          <w:p w14:paraId="375FBA3C" w14:textId="77777777" w:rsidR="00E65874" w:rsidRPr="00321931" w:rsidRDefault="00E65874" w:rsidP="003772B6">
            <w:pPr>
              <w:spacing w:line="276" w:lineRule="auto"/>
              <w:jc w:val="both"/>
              <w:rPr>
                <w:rFonts w:ascii="Palatino Linotype" w:hAnsi="Palatino Linotype" w:cstheme="majorBidi"/>
              </w:rPr>
            </w:pPr>
            <w:r w:rsidRPr="00321931">
              <w:rPr>
                <w:rFonts w:ascii="Palatino Linotype" w:hAnsi="Palatino Linotype" w:cstheme="majorBidi"/>
              </w:rPr>
              <w:t>(2)</w:t>
            </w:r>
          </w:p>
        </w:tc>
        <w:tc>
          <w:tcPr>
            <w:tcW w:w="5400" w:type="dxa"/>
            <w:gridSpan w:val="3"/>
          </w:tcPr>
          <w:p w14:paraId="6E786031" w14:textId="5F922DD5" w:rsidR="00E65874" w:rsidRPr="00321931" w:rsidRDefault="002A1A1A"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w:t>
            </w:r>
            <w:r w:rsidR="00E65874" w:rsidRPr="00321931">
              <w:rPr>
                <w:rFonts w:ascii="Palatino Linotype" w:hAnsi="Palatino Linotype" w:cstheme="majorBidi"/>
              </w:rPr>
              <w:t xml:space="preserve">contract or agreement showing the terms of each </w:t>
            </w:r>
            <w:proofErr w:type="gramStart"/>
            <w:r w:rsidR="00E65874" w:rsidRPr="00321931">
              <w:rPr>
                <w:rFonts w:ascii="Palatino Linotype" w:hAnsi="Palatino Linotype" w:cstheme="majorBidi"/>
              </w:rPr>
              <w:t>transaction;</w:t>
            </w:r>
            <w:proofErr w:type="gramEnd"/>
          </w:p>
          <w:p w14:paraId="1B0F342F" w14:textId="77777777" w:rsidR="00E65874" w:rsidRPr="00321931" w:rsidRDefault="00E65874" w:rsidP="003772B6">
            <w:pPr>
              <w:spacing w:line="276" w:lineRule="auto"/>
              <w:jc w:val="both"/>
              <w:rPr>
                <w:rFonts w:ascii="Palatino Linotype" w:hAnsi="Palatino Linotype" w:cstheme="majorBidi"/>
              </w:rPr>
            </w:pPr>
          </w:p>
        </w:tc>
      </w:tr>
      <w:tr w:rsidR="00415A84" w:rsidRPr="00321931" w14:paraId="06BACD1C" w14:textId="77777777" w:rsidTr="007E3C0D">
        <w:trPr>
          <w:trHeight w:val="1062"/>
        </w:trPr>
        <w:tc>
          <w:tcPr>
            <w:tcW w:w="1890" w:type="dxa"/>
          </w:tcPr>
          <w:p w14:paraId="26D82A3D" w14:textId="77777777" w:rsidR="00E65874" w:rsidRPr="00933C7D" w:rsidRDefault="00E65874" w:rsidP="003772B6">
            <w:pPr>
              <w:spacing w:line="276" w:lineRule="auto"/>
              <w:rPr>
                <w:rFonts w:ascii="Palatino Linotype" w:hAnsi="Palatino Linotype" w:cstheme="majorBidi"/>
                <w:b/>
                <w:bCs/>
                <w:sz w:val="18"/>
                <w:szCs w:val="18"/>
              </w:rPr>
            </w:pPr>
          </w:p>
        </w:tc>
        <w:tc>
          <w:tcPr>
            <w:tcW w:w="630" w:type="dxa"/>
          </w:tcPr>
          <w:p w14:paraId="4DD92147" w14:textId="77777777" w:rsidR="00E65874" w:rsidRPr="00321931" w:rsidRDefault="00E65874" w:rsidP="003772B6">
            <w:pPr>
              <w:spacing w:line="276" w:lineRule="auto"/>
              <w:jc w:val="both"/>
              <w:rPr>
                <w:rFonts w:ascii="Palatino Linotype" w:hAnsi="Palatino Linotype" w:cstheme="majorBidi"/>
              </w:rPr>
            </w:pPr>
          </w:p>
        </w:tc>
        <w:tc>
          <w:tcPr>
            <w:tcW w:w="540" w:type="dxa"/>
          </w:tcPr>
          <w:p w14:paraId="1DDE86B3" w14:textId="77777777" w:rsidR="00E65874" w:rsidRPr="00321931" w:rsidRDefault="00E65874" w:rsidP="003772B6">
            <w:pPr>
              <w:spacing w:line="276" w:lineRule="auto"/>
              <w:jc w:val="both"/>
              <w:rPr>
                <w:rFonts w:ascii="Palatino Linotype" w:hAnsi="Palatino Linotype" w:cstheme="majorBidi"/>
              </w:rPr>
            </w:pPr>
          </w:p>
        </w:tc>
        <w:tc>
          <w:tcPr>
            <w:tcW w:w="630" w:type="dxa"/>
          </w:tcPr>
          <w:p w14:paraId="7CE235B3" w14:textId="77777777" w:rsidR="00E65874" w:rsidRPr="00321931" w:rsidRDefault="00E65874" w:rsidP="003772B6">
            <w:pPr>
              <w:spacing w:line="276" w:lineRule="auto"/>
              <w:jc w:val="both"/>
              <w:rPr>
                <w:rFonts w:ascii="Palatino Linotype" w:hAnsi="Palatino Linotype" w:cstheme="majorBidi"/>
              </w:rPr>
            </w:pPr>
            <w:r w:rsidRPr="00321931">
              <w:rPr>
                <w:rFonts w:ascii="Palatino Linotype" w:hAnsi="Palatino Linotype" w:cstheme="majorBidi"/>
              </w:rPr>
              <w:t>(3)</w:t>
            </w:r>
          </w:p>
        </w:tc>
        <w:tc>
          <w:tcPr>
            <w:tcW w:w="5400" w:type="dxa"/>
            <w:gridSpan w:val="3"/>
          </w:tcPr>
          <w:p w14:paraId="0D330878" w14:textId="2A9D3919" w:rsidR="00E65874" w:rsidRPr="00321931" w:rsidRDefault="002A1A1A" w:rsidP="003772B6">
            <w:pPr>
              <w:spacing w:line="276" w:lineRule="auto"/>
              <w:jc w:val="both"/>
              <w:rPr>
                <w:rFonts w:ascii="Palatino Linotype" w:hAnsi="Palatino Linotype" w:cstheme="majorBidi"/>
              </w:rPr>
            </w:pPr>
            <w:r w:rsidRPr="00321931">
              <w:rPr>
                <w:rFonts w:ascii="Palatino Linotype" w:hAnsi="Palatino Linotype" w:cstheme="majorBidi"/>
              </w:rPr>
              <w:t>intra</w:t>
            </w:r>
            <w:r w:rsidR="008D6CF7" w:rsidRPr="00321931">
              <w:rPr>
                <w:rFonts w:ascii="Palatino Linotype" w:hAnsi="Palatino Linotype" w:cstheme="majorBidi"/>
              </w:rPr>
              <w:t xml:space="preserve">-group payments and receipts for each category of transactions involving </w:t>
            </w:r>
            <w:r w:rsidR="008D6CF7"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008D6CF7" w:rsidRPr="00321931">
              <w:rPr>
                <w:rFonts w:ascii="Palatino Linotype" w:hAnsi="Palatino Linotype" w:cstheme="majorBidi"/>
              </w:rPr>
              <w:t xml:space="preserve"> broken down by the tax jurisdiction of the foreign payer or </w:t>
            </w:r>
            <w:proofErr w:type="gramStart"/>
            <w:r w:rsidR="008D6CF7" w:rsidRPr="00321931">
              <w:rPr>
                <w:rFonts w:ascii="Palatino Linotype" w:hAnsi="Palatino Linotype" w:cstheme="majorBidi"/>
              </w:rPr>
              <w:t>recipient;</w:t>
            </w:r>
            <w:proofErr w:type="gramEnd"/>
          </w:p>
          <w:p w14:paraId="79D8A18E" w14:textId="77777777" w:rsidR="008D6CF7" w:rsidRPr="00321931" w:rsidRDefault="008D6CF7" w:rsidP="003772B6">
            <w:pPr>
              <w:spacing w:line="276" w:lineRule="auto"/>
              <w:jc w:val="both"/>
              <w:rPr>
                <w:rFonts w:ascii="Palatino Linotype" w:hAnsi="Palatino Linotype" w:cstheme="majorBidi"/>
              </w:rPr>
            </w:pPr>
          </w:p>
        </w:tc>
      </w:tr>
      <w:tr w:rsidR="00415A84" w:rsidRPr="00321931" w14:paraId="37B236EE" w14:textId="77777777" w:rsidTr="00F13C6F">
        <w:trPr>
          <w:trHeight w:val="80"/>
        </w:trPr>
        <w:tc>
          <w:tcPr>
            <w:tcW w:w="1890" w:type="dxa"/>
          </w:tcPr>
          <w:p w14:paraId="475B5CD9" w14:textId="77777777" w:rsidR="00A22201" w:rsidRPr="00933C7D" w:rsidRDefault="00A22201" w:rsidP="003772B6">
            <w:pPr>
              <w:spacing w:line="276" w:lineRule="auto"/>
              <w:rPr>
                <w:rFonts w:ascii="Palatino Linotype" w:hAnsi="Palatino Linotype" w:cstheme="majorBidi"/>
                <w:b/>
                <w:bCs/>
                <w:sz w:val="18"/>
                <w:szCs w:val="18"/>
              </w:rPr>
            </w:pPr>
          </w:p>
        </w:tc>
        <w:tc>
          <w:tcPr>
            <w:tcW w:w="630" w:type="dxa"/>
          </w:tcPr>
          <w:p w14:paraId="1705DB15" w14:textId="77777777" w:rsidR="00A22201" w:rsidRPr="00321931" w:rsidRDefault="00A22201" w:rsidP="003772B6">
            <w:pPr>
              <w:spacing w:line="276" w:lineRule="auto"/>
              <w:jc w:val="both"/>
              <w:rPr>
                <w:rFonts w:ascii="Palatino Linotype" w:hAnsi="Palatino Linotype" w:cstheme="majorBidi"/>
              </w:rPr>
            </w:pPr>
          </w:p>
        </w:tc>
        <w:tc>
          <w:tcPr>
            <w:tcW w:w="540" w:type="dxa"/>
          </w:tcPr>
          <w:p w14:paraId="56B27DD5" w14:textId="77777777" w:rsidR="00A22201" w:rsidRPr="00321931" w:rsidRDefault="00A22201" w:rsidP="003772B6">
            <w:pPr>
              <w:spacing w:line="276" w:lineRule="auto"/>
              <w:jc w:val="both"/>
              <w:rPr>
                <w:rFonts w:ascii="Palatino Linotype" w:hAnsi="Palatino Linotype" w:cstheme="majorBidi"/>
              </w:rPr>
            </w:pPr>
          </w:p>
        </w:tc>
        <w:tc>
          <w:tcPr>
            <w:tcW w:w="630" w:type="dxa"/>
          </w:tcPr>
          <w:p w14:paraId="18923FFB" w14:textId="77777777" w:rsidR="00A22201" w:rsidRPr="00321931" w:rsidRDefault="00A22201" w:rsidP="003772B6">
            <w:pPr>
              <w:spacing w:line="276" w:lineRule="auto"/>
              <w:jc w:val="both"/>
              <w:rPr>
                <w:rFonts w:ascii="Palatino Linotype" w:hAnsi="Palatino Linotype" w:cstheme="majorBidi"/>
              </w:rPr>
            </w:pPr>
            <w:r w:rsidRPr="00321931">
              <w:rPr>
                <w:rFonts w:ascii="Palatino Linotype" w:hAnsi="Palatino Linotype" w:cstheme="majorBidi"/>
              </w:rPr>
              <w:t>(4)</w:t>
            </w:r>
          </w:p>
        </w:tc>
        <w:tc>
          <w:tcPr>
            <w:tcW w:w="5400" w:type="dxa"/>
            <w:gridSpan w:val="3"/>
          </w:tcPr>
          <w:p w14:paraId="4973EF94" w14:textId="77777777" w:rsidR="00A22201" w:rsidRDefault="002A1A1A" w:rsidP="003772B6">
            <w:pPr>
              <w:spacing w:after="120" w:line="276" w:lineRule="auto"/>
              <w:jc w:val="both"/>
              <w:rPr>
                <w:rFonts w:ascii="Palatino Linotype" w:hAnsi="Palatino Linotype" w:cstheme="majorBidi"/>
              </w:rPr>
            </w:pPr>
            <w:r w:rsidRPr="00321931">
              <w:rPr>
                <w:rFonts w:ascii="Palatino Linotype" w:hAnsi="Palatino Linotype" w:cstheme="majorBidi"/>
              </w:rPr>
              <w:t xml:space="preserve">a </w:t>
            </w:r>
            <w:r w:rsidR="00A22201" w:rsidRPr="00321931">
              <w:rPr>
                <w:rFonts w:ascii="Palatino Linotype" w:hAnsi="Palatino Linotype" w:cstheme="majorBidi"/>
              </w:rPr>
              <w:t xml:space="preserve">functional analysis describing the functions performed, the assets (including intangible assets) used or contributed, and the risks assumed by each party to each </w:t>
            </w:r>
            <w:proofErr w:type="gramStart"/>
            <w:r w:rsidR="00A22201" w:rsidRPr="00321931">
              <w:rPr>
                <w:rFonts w:ascii="Palatino Linotype" w:hAnsi="Palatino Linotype" w:cstheme="majorBidi"/>
              </w:rPr>
              <w:t>transaction;</w:t>
            </w:r>
            <w:proofErr w:type="gramEnd"/>
          </w:p>
          <w:p w14:paraId="3DAD2D5E" w14:textId="6CA44D52" w:rsidR="003772B6" w:rsidRPr="00321931" w:rsidRDefault="003772B6" w:rsidP="003772B6">
            <w:pPr>
              <w:spacing w:after="120" w:line="276" w:lineRule="auto"/>
              <w:jc w:val="both"/>
              <w:rPr>
                <w:rFonts w:ascii="Palatino Linotype" w:hAnsi="Palatino Linotype" w:cstheme="majorBidi"/>
              </w:rPr>
            </w:pPr>
          </w:p>
        </w:tc>
      </w:tr>
      <w:tr w:rsidR="00415A84" w:rsidRPr="00321931" w14:paraId="49D75290" w14:textId="77777777" w:rsidTr="007E3C0D">
        <w:trPr>
          <w:trHeight w:val="855"/>
        </w:trPr>
        <w:tc>
          <w:tcPr>
            <w:tcW w:w="1890" w:type="dxa"/>
          </w:tcPr>
          <w:p w14:paraId="4AF222C0" w14:textId="77777777" w:rsidR="00A22201" w:rsidRPr="00933C7D" w:rsidRDefault="00A22201" w:rsidP="003772B6">
            <w:pPr>
              <w:spacing w:line="276" w:lineRule="auto"/>
              <w:rPr>
                <w:rFonts w:ascii="Palatino Linotype" w:hAnsi="Palatino Linotype" w:cstheme="majorBidi"/>
                <w:b/>
                <w:bCs/>
                <w:sz w:val="18"/>
                <w:szCs w:val="18"/>
              </w:rPr>
            </w:pPr>
          </w:p>
        </w:tc>
        <w:tc>
          <w:tcPr>
            <w:tcW w:w="630" w:type="dxa"/>
          </w:tcPr>
          <w:p w14:paraId="462BF4DE" w14:textId="77777777" w:rsidR="00A22201" w:rsidRPr="00321931" w:rsidRDefault="00A22201" w:rsidP="003772B6">
            <w:pPr>
              <w:spacing w:line="276" w:lineRule="auto"/>
              <w:jc w:val="both"/>
              <w:rPr>
                <w:rFonts w:ascii="Palatino Linotype" w:hAnsi="Palatino Linotype" w:cstheme="majorBidi"/>
              </w:rPr>
            </w:pPr>
          </w:p>
        </w:tc>
        <w:tc>
          <w:tcPr>
            <w:tcW w:w="540" w:type="dxa"/>
          </w:tcPr>
          <w:p w14:paraId="1F5DCFAD" w14:textId="77777777" w:rsidR="00A22201" w:rsidRPr="00321931" w:rsidRDefault="00A22201" w:rsidP="003772B6">
            <w:pPr>
              <w:spacing w:line="276" w:lineRule="auto"/>
              <w:jc w:val="both"/>
              <w:rPr>
                <w:rFonts w:ascii="Palatino Linotype" w:hAnsi="Palatino Linotype" w:cstheme="majorBidi"/>
              </w:rPr>
            </w:pPr>
          </w:p>
        </w:tc>
        <w:tc>
          <w:tcPr>
            <w:tcW w:w="630" w:type="dxa"/>
          </w:tcPr>
          <w:p w14:paraId="6CF4F051" w14:textId="77777777" w:rsidR="00A22201" w:rsidRPr="00321931" w:rsidRDefault="00A22201" w:rsidP="003772B6">
            <w:pPr>
              <w:spacing w:line="276" w:lineRule="auto"/>
              <w:jc w:val="both"/>
              <w:rPr>
                <w:rFonts w:ascii="Palatino Linotype" w:hAnsi="Palatino Linotype" w:cstheme="majorBidi"/>
              </w:rPr>
            </w:pPr>
            <w:r w:rsidRPr="00321931">
              <w:rPr>
                <w:rFonts w:ascii="Palatino Linotype" w:hAnsi="Palatino Linotype" w:cstheme="majorBidi"/>
              </w:rPr>
              <w:t>(5)</w:t>
            </w:r>
          </w:p>
        </w:tc>
        <w:tc>
          <w:tcPr>
            <w:tcW w:w="5400" w:type="dxa"/>
            <w:gridSpan w:val="3"/>
          </w:tcPr>
          <w:p w14:paraId="2071D3CE" w14:textId="6036CED3" w:rsidR="003772B6" w:rsidRPr="00321931" w:rsidRDefault="002A1A1A" w:rsidP="003772B6">
            <w:pPr>
              <w:spacing w:after="120" w:line="276" w:lineRule="auto"/>
              <w:jc w:val="both"/>
              <w:rPr>
                <w:rFonts w:ascii="Palatino Linotype" w:hAnsi="Palatino Linotype" w:cstheme="majorBidi"/>
              </w:rPr>
            </w:pPr>
            <w:r w:rsidRPr="00321931">
              <w:rPr>
                <w:rFonts w:ascii="Palatino Linotype" w:hAnsi="Palatino Linotype" w:cstheme="majorBidi"/>
              </w:rPr>
              <w:t xml:space="preserve">a </w:t>
            </w:r>
            <w:r w:rsidR="00EA6F13" w:rsidRPr="00321931">
              <w:rPr>
                <w:rFonts w:ascii="Palatino Linotype" w:hAnsi="Palatino Linotype" w:cstheme="majorBidi"/>
              </w:rPr>
              <w:t xml:space="preserve">copy </w:t>
            </w:r>
            <w:r w:rsidRPr="00321931">
              <w:rPr>
                <w:rFonts w:ascii="Palatino Linotype" w:hAnsi="Palatino Linotype" w:cstheme="majorBidi"/>
              </w:rPr>
              <w:t xml:space="preserve">of </w:t>
            </w:r>
            <w:r w:rsidR="00EA6F13" w:rsidRPr="00321931">
              <w:rPr>
                <w:rFonts w:ascii="Palatino Linotype" w:hAnsi="Palatino Linotype" w:cstheme="majorBidi"/>
              </w:rPr>
              <w:t>each of the group’s advance pricing arrangements</w:t>
            </w:r>
            <w:r w:rsidR="003039F0" w:rsidRPr="00321931">
              <w:rPr>
                <w:rFonts w:ascii="Palatino Linotype" w:hAnsi="Palatino Linotype" w:cstheme="majorBidi"/>
              </w:rPr>
              <w:t>, including unilateral, bilateral/multilateral advance pricing arrangements,</w:t>
            </w:r>
            <w:r w:rsidR="00EA6F13" w:rsidRPr="00321931">
              <w:rPr>
                <w:rFonts w:ascii="Palatino Linotype" w:hAnsi="Palatino Linotype" w:cstheme="majorBidi"/>
              </w:rPr>
              <w:t xml:space="preserve"> </w:t>
            </w:r>
            <w:proofErr w:type="gramStart"/>
            <w:r w:rsidR="00EA6F13" w:rsidRPr="00321931">
              <w:rPr>
                <w:rFonts w:ascii="Palatino Linotype" w:hAnsi="Palatino Linotype" w:cstheme="majorBidi"/>
              </w:rPr>
              <w:t>and</w:t>
            </w:r>
            <w:r w:rsidR="003039F0" w:rsidRPr="00321931">
              <w:rPr>
                <w:rFonts w:ascii="Palatino Linotype" w:hAnsi="Palatino Linotype" w:cstheme="majorBidi"/>
              </w:rPr>
              <w:t>,</w:t>
            </w:r>
            <w:proofErr w:type="gramEnd"/>
            <w:r w:rsidR="00EA6F13" w:rsidRPr="00321931">
              <w:rPr>
                <w:rFonts w:ascii="Palatino Linotype" w:hAnsi="Palatino Linotype" w:cstheme="majorBidi"/>
              </w:rPr>
              <w:t xml:space="preserve"> other tax rulings:</w:t>
            </w:r>
          </w:p>
        </w:tc>
      </w:tr>
      <w:tr w:rsidR="00415A84" w:rsidRPr="00321931" w14:paraId="25DBD19B" w14:textId="77777777" w:rsidTr="007E3C0D">
        <w:trPr>
          <w:trHeight w:val="603"/>
        </w:trPr>
        <w:tc>
          <w:tcPr>
            <w:tcW w:w="1890" w:type="dxa"/>
          </w:tcPr>
          <w:p w14:paraId="64873826" w14:textId="77777777" w:rsidR="00737AFC" w:rsidRPr="00933C7D" w:rsidRDefault="00737AFC" w:rsidP="003772B6">
            <w:pPr>
              <w:spacing w:line="276" w:lineRule="auto"/>
              <w:rPr>
                <w:rFonts w:ascii="Palatino Linotype" w:hAnsi="Palatino Linotype" w:cstheme="majorBidi"/>
                <w:b/>
                <w:bCs/>
                <w:sz w:val="18"/>
                <w:szCs w:val="18"/>
              </w:rPr>
            </w:pPr>
          </w:p>
        </w:tc>
        <w:tc>
          <w:tcPr>
            <w:tcW w:w="630" w:type="dxa"/>
          </w:tcPr>
          <w:p w14:paraId="328201D7" w14:textId="77777777" w:rsidR="00737AFC" w:rsidRPr="00321931" w:rsidRDefault="00737AFC" w:rsidP="003772B6">
            <w:pPr>
              <w:spacing w:line="276" w:lineRule="auto"/>
              <w:jc w:val="both"/>
              <w:rPr>
                <w:rFonts w:ascii="Palatino Linotype" w:hAnsi="Palatino Linotype" w:cstheme="majorBidi"/>
              </w:rPr>
            </w:pPr>
          </w:p>
        </w:tc>
        <w:tc>
          <w:tcPr>
            <w:tcW w:w="540" w:type="dxa"/>
          </w:tcPr>
          <w:p w14:paraId="408D6E7F" w14:textId="77777777" w:rsidR="00737AFC" w:rsidRPr="00321931" w:rsidRDefault="00737AFC" w:rsidP="003772B6">
            <w:pPr>
              <w:spacing w:line="276" w:lineRule="auto"/>
              <w:jc w:val="both"/>
              <w:rPr>
                <w:rFonts w:ascii="Palatino Linotype" w:hAnsi="Palatino Linotype" w:cstheme="majorBidi"/>
              </w:rPr>
            </w:pPr>
          </w:p>
        </w:tc>
        <w:tc>
          <w:tcPr>
            <w:tcW w:w="630" w:type="dxa"/>
          </w:tcPr>
          <w:p w14:paraId="0CD4CC5E" w14:textId="77777777" w:rsidR="00737AFC" w:rsidRPr="00321931" w:rsidRDefault="00737AFC" w:rsidP="003772B6">
            <w:pPr>
              <w:spacing w:line="276" w:lineRule="auto"/>
              <w:jc w:val="both"/>
              <w:rPr>
                <w:rFonts w:ascii="Palatino Linotype" w:hAnsi="Palatino Linotype" w:cstheme="majorBidi"/>
              </w:rPr>
            </w:pPr>
          </w:p>
        </w:tc>
        <w:tc>
          <w:tcPr>
            <w:tcW w:w="630" w:type="dxa"/>
          </w:tcPr>
          <w:p w14:paraId="5AB0D789" w14:textId="77777777" w:rsidR="00737AFC" w:rsidRPr="00321931" w:rsidRDefault="00EA6F13" w:rsidP="003772B6">
            <w:pPr>
              <w:spacing w:line="276" w:lineRule="auto"/>
              <w:jc w:val="both"/>
              <w:rPr>
                <w:rFonts w:ascii="Palatino Linotype" w:hAnsi="Palatino Linotype" w:cstheme="majorBidi"/>
              </w:rPr>
            </w:pPr>
            <w:r w:rsidRPr="00321931">
              <w:rPr>
                <w:rFonts w:ascii="Palatino Linotype" w:hAnsi="Palatino Linotype" w:cstheme="majorBidi"/>
              </w:rPr>
              <w:t>(</w:t>
            </w:r>
            <w:proofErr w:type="spellStart"/>
            <w:r w:rsidRPr="00321931">
              <w:rPr>
                <w:rFonts w:ascii="Palatino Linotype" w:hAnsi="Palatino Linotype" w:cstheme="majorBidi"/>
              </w:rPr>
              <w:t>i</w:t>
            </w:r>
            <w:proofErr w:type="spellEnd"/>
            <w:r w:rsidRPr="00321931">
              <w:rPr>
                <w:rFonts w:ascii="Palatino Linotype" w:hAnsi="Palatino Linotype" w:cstheme="majorBidi"/>
              </w:rPr>
              <w:t>)</w:t>
            </w:r>
          </w:p>
        </w:tc>
        <w:tc>
          <w:tcPr>
            <w:tcW w:w="4770" w:type="dxa"/>
            <w:gridSpan w:val="2"/>
          </w:tcPr>
          <w:p w14:paraId="1AEA340F" w14:textId="68DAD911" w:rsidR="00EA6F13" w:rsidRPr="00321931" w:rsidRDefault="00390552" w:rsidP="003772B6">
            <w:pPr>
              <w:spacing w:line="276" w:lineRule="auto"/>
              <w:jc w:val="both"/>
              <w:rPr>
                <w:rFonts w:ascii="Palatino Linotype" w:hAnsi="Palatino Linotype" w:cstheme="majorBidi"/>
              </w:rPr>
            </w:pPr>
            <w:r w:rsidRPr="00321931">
              <w:rPr>
                <w:rFonts w:ascii="Palatino Linotype" w:hAnsi="Palatino Linotype" w:cstheme="majorBidi"/>
              </w:rPr>
              <w:t xml:space="preserve">to </w:t>
            </w:r>
            <w:r w:rsidR="00EA6F13" w:rsidRPr="00321931">
              <w:rPr>
                <w:rFonts w:ascii="Palatino Linotype" w:hAnsi="Palatino Linotype" w:cstheme="majorBidi"/>
              </w:rPr>
              <w:t>which MIRA is not a party; an</w:t>
            </w:r>
            <w:r w:rsidR="002A1A1A" w:rsidRPr="00321931">
              <w:rPr>
                <w:rFonts w:ascii="Palatino Linotype" w:hAnsi="Palatino Linotype" w:cstheme="majorBidi"/>
              </w:rPr>
              <w:t>d</w:t>
            </w:r>
          </w:p>
        </w:tc>
      </w:tr>
      <w:tr w:rsidR="00415A84" w:rsidRPr="00321931" w14:paraId="7512B1A4" w14:textId="77777777" w:rsidTr="007E3C0D">
        <w:trPr>
          <w:trHeight w:val="630"/>
        </w:trPr>
        <w:tc>
          <w:tcPr>
            <w:tcW w:w="1890" w:type="dxa"/>
          </w:tcPr>
          <w:p w14:paraId="7D04FCF3" w14:textId="77777777" w:rsidR="00EA6F13" w:rsidRPr="00933C7D" w:rsidRDefault="00EA6F13" w:rsidP="003772B6">
            <w:pPr>
              <w:spacing w:line="276" w:lineRule="auto"/>
              <w:rPr>
                <w:rFonts w:ascii="Palatino Linotype" w:hAnsi="Palatino Linotype" w:cstheme="majorBidi"/>
                <w:b/>
                <w:bCs/>
                <w:sz w:val="18"/>
                <w:szCs w:val="18"/>
              </w:rPr>
            </w:pPr>
          </w:p>
        </w:tc>
        <w:tc>
          <w:tcPr>
            <w:tcW w:w="630" w:type="dxa"/>
          </w:tcPr>
          <w:p w14:paraId="4368E7B8" w14:textId="77777777" w:rsidR="00EA6F13" w:rsidRPr="00321931" w:rsidRDefault="00EA6F13" w:rsidP="003772B6">
            <w:pPr>
              <w:spacing w:line="276" w:lineRule="auto"/>
              <w:jc w:val="both"/>
              <w:rPr>
                <w:rFonts w:ascii="Palatino Linotype" w:hAnsi="Palatino Linotype" w:cstheme="majorBidi"/>
              </w:rPr>
            </w:pPr>
          </w:p>
        </w:tc>
        <w:tc>
          <w:tcPr>
            <w:tcW w:w="540" w:type="dxa"/>
          </w:tcPr>
          <w:p w14:paraId="2A8E57FC" w14:textId="77777777" w:rsidR="00EA6F13" w:rsidRPr="00321931" w:rsidRDefault="00EA6F13" w:rsidP="003772B6">
            <w:pPr>
              <w:spacing w:line="276" w:lineRule="auto"/>
              <w:jc w:val="both"/>
              <w:rPr>
                <w:rFonts w:ascii="Palatino Linotype" w:hAnsi="Palatino Linotype" w:cstheme="majorBidi"/>
              </w:rPr>
            </w:pPr>
          </w:p>
        </w:tc>
        <w:tc>
          <w:tcPr>
            <w:tcW w:w="630" w:type="dxa"/>
          </w:tcPr>
          <w:p w14:paraId="31D225BB" w14:textId="77777777" w:rsidR="00EA6F13" w:rsidRPr="00321931" w:rsidRDefault="00EA6F13" w:rsidP="003772B6">
            <w:pPr>
              <w:spacing w:line="276" w:lineRule="auto"/>
              <w:jc w:val="both"/>
              <w:rPr>
                <w:rFonts w:ascii="Palatino Linotype" w:hAnsi="Palatino Linotype" w:cstheme="majorBidi"/>
              </w:rPr>
            </w:pPr>
          </w:p>
        </w:tc>
        <w:tc>
          <w:tcPr>
            <w:tcW w:w="630" w:type="dxa"/>
          </w:tcPr>
          <w:p w14:paraId="65FE3FD6" w14:textId="77777777" w:rsidR="00EA6F13" w:rsidRPr="00321931" w:rsidRDefault="00EA6F13" w:rsidP="003772B6">
            <w:pPr>
              <w:spacing w:line="276" w:lineRule="auto"/>
              <w:jc w:val="both"/>
              <w:rPr>
                <w:rFonts w:ascii="Palatino Linotype" w:hAnsi="Palatino Linotype" w:cstheme="majorBidi"/>
              </w:rPr>
            </w:pPr>
            <w:r w:rsidRPr="00321931">
              <w:rPr>
                <w:rFonts w:ascii="Palatino Linotype" w:hAnsi="Palatino Linotype" w:cstheme="majorBidi"/>
              </w:rPr>
              <w:t>(ii)</w:t>
            </w:r>
          </w:p>
        </w:tc>
        <w:tc>
          <w:tcPr>
            <w:tcW w:w="4770" w:type="dxa"/>
            <w:gridSpan w:val="2"/>
          </w:tcPr>
          <w:p w14:paraId="73B4AB0B" w14:textId="2EC65B89" w:rsidR="009C4361" w:rsidRPr="00321931" w:rsidRDefault="003039F0"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that </w:t>
            </w:r>
            <w:r w:rsidR="009C4361" w:rsidRPr="00321931">
              <w:rPr>
                <w:rFonts w:ascii="Palatino Linotype" w:hAnsi="Palatino Linotype" w:cstheme="majorBidi"/>
              </w:rPr>
              <w:t>are relevant to each transaction; and</w:t>
            </w:r>
          </w:p>
        </w:tc>
      </w:tr>
      <w:tr w:rsidR="00415A84" w:rsidRPr="00321931" w14:paraId="3B698DE0" w14:textId="77777777" w:rsidTr="007E3C0D">
        <w:trPr>
          <w:trHeight w:val="630"/>
        </w:trPr>
        <w:tc>
          <w:tcPr>
            <w:tcW w:w="1890" w:type="dxa"/>
          </w:tcPr>
          <w:p w14:paraId="6935C91A" w14:textId="77777777" w:rsidR="009C4361" w:rsidRPr="00933C7D" w:rsidRDefault="009C4361" w:rsidP="003772B6">
            <w:pPr>
              <w:spacing w:line="276" w:lineRule="auto"/>
              <w:rPr>
                <w:rFonts w:ascii="Palatino Linotype" w:hAnsi="Palatino Linotype" w:cstheme="majorBidi"/>
                <w:b/>
                <w:bCs/>
                <w:sz w:val="18"/>
                <w:szCs w:val="18"/>
              </w:rPr>
            </w:pPr>
          </w:p>
        </w:tc>
        <w:tc>
          <w:tcPr>
            <w:tcW w:w="630" w:type="dxa"/>
          </w:tcPr>
          <w:p w14:paraId="4F70D345" w14:textId="77777777" w:rsidR="009C4361" w:rsidRPr="00321931" w:rsidRDefault="009C4361" w:rsidP="003772B6">
            <w:pPr>
              <w:spacing w:line="276" w:lineRule="auto"/>
              <w:jc w:val="both"/>
              <w:rPr>
                <w:rFonts w:ascii="Palatino Linotype" w:hAnsi="Palatino Linotype" w:cstheme="majorBidi"/>
              </w:rPr>
            </w:pPr>
          </w:p>
        </w:tc>
        <w:tc>
          <w:tcPr>
            <w:tcW w:w="540" w:type="dxa"/>
          </w:tcPr>
          <w:p w14:paraId="3665DC54" w14:textId="77777777" w:rsidR="009C4361" w:rsidRPr="00321931" w:rsidRDefault="009C4361" w:rsidP="003772B6">
            <w:pPr>
              <w:spacing w:line="276" w:lineRule="auto"/>
              <w:jc w:val="both"/>
              <w:rPr>
                <w:rFonts w:ascii="Palatino Linotype" w:hAnsi="Palatino Linotype" w:cstheme="majorBidi"/>
              </w:rPr>
            </w:pPr>
          </w:p>
        </w:tc>
        <w:tc>
          <w:tcPr>
            <w:tcW w:w="630" w:type="dxa"/>
          </w:tcPr>
          <w:p w14:paraId="7CC24952" w14:textId="77777777" w:rsidR="009C4361" w:rsidRPr="00321931" w:rsidRDefault="009C4361" w:rsidP="003772B6">
            <w:pPr>
              <w:spacing w:line="276" w:lineRule="auto"/>
              <w:jc w:val="both"/>
              <w:rPr>
                <w:rFonts w:ascii="Palatino Linotype" w:hAnsi="Palatino Linotype" w:cstheme="majorBidi"/>
              </w:rPr>
            </w:pPr>
          </w:p>
        </w:tc>
        <w:tc>
          <w:tcPr>
            <w:tcW w:w="630" w:type="dxa"/>
          </w:tcPr>
          <w:p w14:paraId="4483C194" w14:textId="77777777" w:rsidR="009C4361" w:rsidRPr="00321931" w:rsidRDefault="009C4361" w:rsidP="003772B6">
            <w:pPr>
              <w:spacing w:line="276" w:lineRule="auto"/>
              <w:jc w:val="both"/>
              <w:rPr>
                <w:rFonts w:ascii="Palatino Linotype" w:hAnsi="Palatino Linotype" w:cstheme="majorBidi"/>
              </w:rPr>
            </w:pPr>
            <w:r w:rsidRPr="00321931">
              <w:rPr>
                <w:rFonts w:ascii="Palatino Linotype" w:hAnsi="Palatino Linotype" w:cstheme="majorBidi"/>
              </w:rPr>
              <w:t>(iii)</w:t>
            </w:r>
          </w:p>
        </w:tc>
        <w:tc>
          <w:tcPr>
            <w:tcW w:w="4770" w:type="dxa"/>
            <w:gridSpan w:val="2"/>
          </w:tcPr>
          <w:p w14:paraId="0DA62F19" w14:textId="77777777" w:rsidR="009C4361" w:rsidRPr="00321931" w:rsidRDefault="003039F0"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that </w:t>
            </w:r>
            <w:r w:rsidR="008854F7" w:rsidRPr="00321931">
              <w:rPr>
                <w:rFonts w:ascii="Palatino Linotype" w:hAnsi="Palatino Linotype" w:cstheme="majorBidi"/>
              </w:rPr>
              <w:t>are in force.</w:t>
            </w:r>
          </w:p>
        </w:tc>
      </w:tr>
      <w:tr w:rsidR="00415A84" w:rsidRPr="00321931" w14:paraId="041B3D9B" w14:textId="77777777" w:rsidTr="007E3C0D">
        <w:trPr>
          <w:trHeight w:val="378"/>
        </w:trPr>
        <w:tc>
          <w:tcPr>
            <w:tcW w:w="1890" w:type="dxa"/>
          </w:tcPr>
          <w:p w14:paraId="5B74A244" w14:textId="77777777" w:rsidR="00905B2C" w:rsidRPr="00933C7D" w:rsidRDefault="00905B2C" w:rsidP="003772B6">
            <w:pPr>
              <w:spacing w:line="276" w:lineRule="auto"/>
              <w:rPr>
                <w:rFonts w:ascii="Palatino Linotype" w:hAnsi="Palatino Linotype" w:cstheme="majorBidi"/>
                <w:b/>
                <w:bCs/>
                <w:sz w:val="18"/>
                <w:szCs w:val="18"/>
              </w:rPr>
            </w:pPr>
          </w:p>
        </w:tc>
        <w:tc>
          <w:tcPr>
            <w:tcW w:w="630" w:type="dxa"/>
          </w:tcPr>
          <w:p w14:paraId="2481E704" w14:textId="77777777" w:rsidR="00905B2C" w:rsidRPr="00321931" w:rsidRDefault="00905B2C" w:rsidP="003772B6">
            <w:pPr>
              <w:spacing w:line="276" w:lineRule="auto"/>
              <w:jc w:val="both"/>
              <w:rPr>
                <w:rFonts w:ascii="Palatino Linotype" w:hAnsi="Palatino Linotype" w:cstheme="majorBidi"/>
              </w:rPr>
            </w:pPr>
          </w:p>
        </w:tc>
        <w:tc>
          <w:tcPr>
            <w:tcW w:w="540" w:type="dxa"/>
          </w:tcPr>
          <w:p w14:paraId="268855E7" w14:textId="77777777" w:rsidR="00905B2C" w:rsidRPr="00321931" w:rsidRDefault="00905B2C" w:rsidP="003772B6">
            <w:pPr>
              <w:spacing w:line="276" w:lineRule="auto"/>
              <w:jc w:val="both"/>
              <w:rPr>
                <w:rFonts w:ascii="Palatino Linotype" w:hAnsi="Palatino Linotype" w:cstheme="majorBidi"/>
              </w:rPr>
            </w:pPr>
          </w:p>
        </w:tc>
        <w:tc>
          <w:tcPr>
            <w:tcW w:w="630" w:type="dxa"/>
          </w:tcPr>
          <w:p w14:paraId="57544367" w14:textId="77777777" w:rsidR="00905B2C" w:rsidRPr="00321931" w:rsidRDefault="00905B2C" w:rsidP="003772B6">
            <w:pPr>
              <w:spacing w:line="276" w:lineRule="auto"/>
              <w:jc w:val="both"/>
              <w:rPr>
                <w:rFonts w:ascii="Palatino Linotype" w:hAnsi="Palatino Linotype" w:cstheme="majorBidi"/>
              </w:rPr>
            </w:pPr>
            <w:r w:rsidRPr="00321931">
              <w:rPr>
                <w:rFonts w:ascii="Palatino Linotype" w:hAnsi="Palatino Linotype" w:cstheme="majorBidi"/>
              </w:rPr>
              <w:t>(6)</w:t>
            </w:r>
          </w:p>
        </w:tc>
        <w:tc>
          <w:tcPr>
            <w:tcW w:w="5400" w:type="dxa"/>
            <w:gridSpan w:val="3"/>
          </w:tcPr>
          <w:p w14:paraId="56AAA101" w14:textId="09B22636" w:rsidR="00905B2C" w:rsidRDefault="002A1A1A"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w:t>
            </w:r>
            <w:r w:rsidR="004309CB" w:rsidRPr="00321931">
              <w:rPr>
                <w:rFonts w:ascii="Palatino Linotype" w:hAnsi="Palatino Linotype" w:cstheme="majorBidi"/>
              </w:rPr>
              <w:t xml:space="preserve">transfer pricing analysis to ascertain whether the conditions made or imposed between </w:t>
            </w:r>
            <w:r w:rsidR="004309CB"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004309CB" w:rsidRPr="00321931">
              <w:rPr>
                <w:rFonts w:ascii="Palatino Linotype" w:hAnsi="Palatino Linotype" w:cstheme="majorBidi"/>
              </w:rPr>
              <w:t xml:space="preserve"> and its </w:t>
            </w:r>
            <w:r w:rsidR="00FE3498" w:rsidRPr="00321931">
              <w:rPr>
                <w:rFonts w:ascii="Palatino Linotype" w:hAnsi="Palatino Linotype" w:cstheme="majorBidi"/>
              </w:rPr>
              <w:t>associated party</w:t>
            </w:r>
            <w:r w:rsidR="004309CB" w:rsidRPr="00321931">
              <w:rPr>
                <w:rFonts w:ascii="Palatino Linotype" w:hAnsi="Palatino Linotype" w:cstheme="majorBidi"/>
              </w:rPr>
              <w:t xml:space="preserve">, with respect to the transaction, are in </w:t>
            </w:r>
            <w:r w:rsidR="00252EEE" w:rsidRPr="00321931">
              <w:rPr>
                <w:rFonts w:ascii="Palatino Linotype" w:hAnsi="Palatino Linotype" w:cstheme="majorBidi"/>
              </w:rPr>
              <w:t>line with</w:t>
            </w:r>
            <w:r w:rsidR="004309CB" w:rsidRPr="00321931">
              <w:rPr>
                <w:rFonts w:ascii="Palatino Linotype" w:hAnsi="Palatino Linotype" w:cstheme="majorBidi"/>
              </w:rPr>
              <w:t xml:space="preserve"> the definition of “arm’s length </w:t>
            </w:r>
            <w:r w:rsidR="004F59C7" w:rsidRPr="00321931">
              <w:rPr>
                <w:rFonts w:ascii="Palatino Linotype" w:hAnsi="Palatino Linotype" w:cstheme="majorBidi"/>
              </w:rPr>
              <w:t>principle</w:t>
            </w:r>
            <w:r w:rsidR="004309CB" w:rsidRPr="00321931">
              <w:rPr>
                <w:rFonts w:ascii="Palatino Linotype" w:hAnsi="Palatino Linotype" w:cstheme="majorBidi"/>
              </w:rPr>
              <w:t>” in Section 79</w:t>
            </w:r>
            <w:r w:rsidR="00077C7A" w:rsidRPr="00321931">
              <w:rPr>
                <w:rFonts w:ascii="Palatino Linotype" w:hAnsi="Palatino Linotype" w:cstheme="majorBidi"/>
              </w:rPr>
              <w:t>(r)</w:t>
            </w:r>
            <w:r w:rsidR="004309CB" w:rsidRPr="00321931">
              <w:rPr>
                <w:rFonts w:ascii="Palatino Linotype" w:hAnsi="Palatino Linotype" w:cstheme="majorBidi"/>
              </w:rPr>
              <w:t xml:space="preserve"> of the Act, including</w:t>
            </w:r>
            <w:r w:rsidR="00252EEE" w:rsidRPr="00321931">
              <w:rPr>
                <w:rFonts w:ascii="Palatino Linotype" w:hAnsi="Palatino Linotype" w:cstheme="majorBidi"/>
              </w:rPr>
              <w:t>:</w:t>
            </w:r>
          </w:p>
          <w:p w14:paraId="4146DC9D" w14:textId="77777777" w:rsidR="003772B6" w:rsidRPr="00321931" w:rsidRDefault="003772B6" w:rsidP="003772B6">
            <w:pPr>
              <w:spacing w:line="276" w:lineRule="auto"/>
              <w:jc w:val="both"/>
              <w:rPr>
                <w:rFonts w:ascii="Palatino Linotype" w:hAnsi="Palatino Linotype" w:cstheme="majorBidi"/>
              </w:rPr>
            </w:pPr>
          </w:p>
          <w:p w14:paraId="6AEF945A" w14:textId="77777777" w:rsidR="00252EEE" w:rsidRPr="00321931" w:rsidRDefault="00252EEE" w:rsidP="003772B6">
            <w:pPr>
              <w:spacing w:line="276" w:lineRule="auto"/>
              <w:jc w:val="both"/>
              <w:rPr>
                <w:rFonts w:ascii="Palatino Linotype" w:hAnsi="Palatino Linotype" w:cstheme="majorBidi"/>
              </w:rPr>
            </w:pPr>
          </w:p>
        </w:tc>
      </w:tr>
      <w:tr w:rsidR="00415A84" w:rsidRPr="00321931" w14:paraId="75453CC7" w14:textId="77777777" w:rsidTr="007E3C0D">
        <w:trPr>
          <w:trHeight w:val="378"/>
        </w:trPr>
        <w:tc>
          <w:tcPr>
            <w:tcW w:w="1890" w:type="dxa"/>
          </w:tcPr>
          <w:p w14:paraId="24170EFE" w14:textId="77777777" w:rsidR="00C27BBA" w:rsidRPr="00933C7D" w:rsidRDefault="00C27BBA" w:rsidP="003772B6">
            <w:pPr>
              <w:spacing w:line="276" w:lineRule="auto"/>
              <w:rPr>
                <w:rFonts w:ascii="Palatino Linotype" w:hAnsi="Palatino Linotype" w:cstheme="majorBidi"/>
                <w:b/>
                <w:bCs/>
                <w:sz w:val="18"/>
                <w:szCs w:val="18"/>
              </w:rPr>
            </w:pPr>
          </w:p>
        </w:tc>
        <w:tc>
          <w:tcPr>
            <w:tcW w:w="630" w:type="dxa"/>
          </w:tcPr>
          <w:p w14:paraId="23A6FC25" w14:textId="77777777" w:rsidR="00C27BBA" w:rsidRPr="00321931" w:rsidRDefault="00C27BBA" w:rsidP="003772B6">
            <w:pPr>
              <w:spacing w:line="276" w:lineRule="auto"/>
              <w:jc w:val="both"/>
              <w:rPr>
                <w:rFonts w:ascii="Palatino Linotype" w:hAnsi="Palatino Linotype" w:cstheme="majorBidi"/>
              </w:rPr>
            </w:pPr>
          </w:p>
        </w:tc>
        <w:tc>
          <w:tcPr>
            <w:tcW w:w="540" w:type="dxa"/>
          </w:tcPr>
          <w:p w14:paraId="5823D10F" w14:textId="77777777" w:rsidR="00C27BBA" w:rsidRPr="00321931" w:rsidRDefault="00C27BBA" w:rsidP="003772B6">
            <w:pPr>
              <w:spacing w:line="276" w:lineRule="auto"/>
              <w:jc w:val="both"/>
              <w:rPr>
                <w:rFonts w:ascii="Palatino Linotype" w:hAnsi="Palatino Linotype" w:cstheme="majorBidi"/>
              </w:rPr>
            </w:pPr>
          </w:p>
        </w:tc>
        <w:tc>
          <w:tcPr>
            <w:tcW w:w="630" w:type="dxa"/>
          </w:tcPr>
          <w:p w14:paraId="7118206F" w14:textId="77777777" w:rsidR="00C27BBA" w:rsidRPr="00321931" w:rsidRDefault="00C27BBA" w:rsidP="00C27BBA">
            <w:pPr>
              <w:jc w:val="both"/>
              <w:rPr>
                <w:rFonts w:ascii="Palatino Linotype" w:hAnsi="Palatino Linotype" w:cstheme="majorBidi"/>
              </w:rPr>
            </w:pPr>
          </w:p>
        </w:tc>
        <w:tc>
          <w:tcPr>
            <w:tcW w:w="630" w:type="dxa"/>
          </w:tcPr>
          <w:p w14:paraId="45A1496B" w14:textId="77777777" w:rsidR="00C27BBA" w:rsidRPr="00321931" w:rsidRDefault="00C27BBA" w:rsidP="003772B6">
            <w:pPr>
              <w:spacing w:line="276" w:lineRule="auto"/>
              <w:jc w:val="both"/>
              <w:rPr>
                <w:rFonts w:ascii="Palatino Linotype" w:hAnsi="Palatino Linotype" w:cstheme="majorBidi"/>
              </w:rPr>
            </w:pPr>
            <w:r w:rsidRPr="00321931">
              <w:rPr>
                <w:rFonts w:ascii="Palatino Linotype" w:hAnsi="Palatino Linotype" w:cstheme="majorBidi"/>
              </w:rPr>
              <w:t>(</w:t>
            </w:r>
            <w:proofErr w:type="spellStart"/>
            <w:r w:rsidRPr="00321931">
              <w:rPr>
                <w:rFonts w:ascii="Palatino Linotype" w:hAnsi="Palatino Linotype" w:cstheme="majorBidi"/>
              </w:rPr>
              <w:t>i</w:t>
            </w:r>
            <w:proofErr w:type="spellEnd"/>
            <w:r w:rsidRPr="00321931">
              <w:rPr>
                <w:rFonts w:ascii="Palatino Linotype" w:hAnsi="Palatino Linotype" w:cstheme="majorBidi"/>
              </w:rPr>
              <w:t>)</w:t>
            </w:r>
          </w:p>
        </w:tc>
        <w:tc>
          <w:tcPr>
            <w:tcW w:w="4770" w:type="dxa"/>
            <w:gridSpan w:val="2"/>
          </w:tcPr>
          <w:p w14:paraId="578A7AE4" w14:textId="12708C82" w:rsidR="00C27BBA" w:rsidRPr="00321931" w:rsidRDefault="00C27BBA"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multi-year comparability analysis that compares the conditions made or imposed between </w:t>
            </w:r>
            <w:r w:rsidRPr="003772B6">
              <w:rPr>
                <w:rFonts w:ascii="Palatino Linotype" w:hAnsi="Palatino Linotype" w:cstheme="majorBidi"/>
                <w:highlight w:val="cyan"/>
              </w:rPr>
              <w:t xml:space="preserve">the </w:t>
            </w:r>
            <w:r w:rsidR="00695F9E" w:rsidRPr="003772B6">
              <w:rPr>
                <w:rFonts w:ascii="Palatino Linotype" w:hAnsi="Palatino Linotype" w:cstheme="majorBidi"/>
                <w:highlight w:val="cyan"/>
              </w:rPr>
              <w:t>taxpayer</w:t>
            </w:r>
            <w:r w:rsidRPr="00321931">
              <w:rPr>
                <w:rFonts w:ascii="Palatino Linotype" w:hAnsi="Palatino Linotype" w:cstheme="majorBidi"/>
              </w:rPr>
              <w:t xml:space="preserve"> and the </w:t>
            </w:r>
            <w:r w:rsidR="0057064B" w:rsidRPr="00321931">
              <w:rPr>
                <w:rFonts w:ascii="Palatino Linotype" w:hAnsi="Palatino Linotype" w:cstheme="majorBidi"/>
              </w:rPr>
              <w:t>associated</w:t>
            </w:r>
            <w:r w:rsidRPr="00321931">
              <w:rPr>
                <w:rFonts w:ascii="Palatino Linotype" w:hAnsi="Palatino Linotype" w:cstheme="majorBidi"/>
              </w:rPr>
              <w:t xml:space="preserve"> party with respect to the transaction, with those made or imposed between parties dealing independently with one another in comparable </w:t>
            </w:r>
            <w:proofErr w:type="gramStart"/>
            <w:r w:rsidRPr="00321931">
              <w:rPr>
                <w:rFonts w:ascii="Palatino Linotype" w:hAnsi="Palatino Linotype" w:cstheme="majorBidi"/>
              </w:rPr>
              <w:t>circumstances;</w:t>
            </w:r>
            <w:proofErr w:type="gramEnd"/>
          </w:p>
          <w:p w14:paraId="769961AE" w14:textId="77777777" w:rsidR="00C27BBA" w:rsidRPr="00321931" w:rsidRDefault="00C27BBA" w:rsidP="003772B6">
            <w:pPr>
              <w:spacing w:line="276" w:lineRule="auto"/>
              <w:jc w:val="both"/>
              <w:rPr>
                <w:rFonts w:ascii="Palatino Linotype" w:hAnsi="Palatino Linotype" w:cstheme="majorBidi"/>
              </w:rPr>
            </w:pPr>
          </w:p>
        </w:tc>
      </w:tr>
      <w:tr w:rsidR="00415A84" w:rsidRPr="00321931" w14:paraId="14CD480B" w14:textId="77777777" w:rsidTr="007E3C0D">
        <w:trPr>
          <w:trHeight w:val="378"/>
        </w:trPr>
        <w:tc>
          <w:tcPr>
            <w:tcW w:w="1890" w:type="dxa"/>
          </w:tcPr>
          <w:p w14:paraId="7C39A622" w14:textId="77777777" w:rsidR="00381199" w:rsidRPr="00933C7D" w:rsidRDefault="00381199" w:rsidP="003772B6">
            <w:pPr>
              <w:spacing w:line="276" w:lineRule="auto"/>
              <w:rPr>
                <w:rFonts w:ascii="Palatino Linotype" w:hAnsi="Palatino Linotype" w:cstheme="majorBidi"/>
                <w:b/>
                <w:bCs/>
                <w:sz w:val="18"/>
                <w:szCs w:val="18"/>
              </w:rPr>
            </w:pPr>
          </w:p>
        </w:tc>
        <w:tc>
          <w:tcPr>
            <w:tcW w:w="630" w:type="dxa"/>
          </w:tcPr>
          <w:p w14:paraId="4AA772B1" w14:textId="77777777" w:rsidR="00381199" w:rsidRPr="00321931" w:rsidRDefault="00381199" w:rsidP="003772B6">
            <w:pPr>
              <w:spacing w:line="276" w:lineRule="auto"/>
              <w:jc w:val="both"/>
              <w:rPr>
                <w:rFonts w:ascii="Palatino Linotype" w:hAnsi="Palatino Linotype" w:cstheme="majorBidi"/>
              </w:rPr>
            </w:pPr>
          </w:p>
        </w:tc>
        <w:tc>
          <w:tcPr>
            <w:tcW w:w="540" w:type="dxa"/>
          </w:tcPr>
          <w:p w14:paraId="14E7D263" w14:textId="77777777" w:rsidR="00381199" w:rsidRPr="00321931" w:rsidRDefault="00381199" w:rsidP="003772B6">
            <w:pPr>
              <w:spacing w:line="276" w:lineRule="auto"/>
              <w:jc w:val="both"/>
              <w:rPr>
                <w:rFonts w:ascii="Palatino Linotype" w:hAnsi="Palatino Linotype" w:cstheme="majorBidi"/>
              </w:rPr>
            </w:pPr>
          </w:p>
        </w:tc>
        <w:tc>
          <w:tcPr>
            <w:tcW w:w="630" w:type="dxa"/>
          </w:tcPr>
          <w:p w14:paraId="1C7ECA87" w14:textId="77777777" w:rsidR="00381199" w:rsidRPr="00321931" w:rsidRDefault="00381199" w:rsidP="00381199">
            <w:pPr>
              <w:jc w:val="both"/>
              <w:rPr>
                <w:rFonts w:ascii="Palatino Linotype" w:hAnsi="Palatino Linotype" w:cstheme="majorBidi"/>
              </w:rPr>
            </w:pPr>
          </w:p>
        </w:tc>
        <w:tc>
          <w:tcPr>
            <w:tcW w:w="630" w:type="dxa"/>
          </w:tcPr>
          <w:p w14:paraId="472C571D" w14:textId="77777777" w:rsidR="00381199" w:rsidRPr="00321931" w:rsidRDefault="00381199" w:rsidP="003772B6">
            <w:pPr>
              <w:spacing w:line="276" w:lineRule="auto"/>
              <w:jc w:val="both"/>
              <w:rPr>
                <w:rFonts w:ascii="Palatino Linotype" w:hAnsi="Palatino Linotype" w:cstheme="majorBidi"/>
              </w:rPr>
            </w:pPr>
            <w:r w:rsidRPr="00321931">
              <w:rPr>
                <w:rFonts w:ascii="Palatino Linotype" w:hAnsi="Palatino Linotype" w:cstheme="majorBidi"/>
              </w:rPr>
              <w:t>(ii)</w:t>
            </w:r>
          </w:p>
        </w:tc>
        <w:tc>
          <w:tcPr>
            <w:tcW w:w="4770" w:type="dxa"/>
            <w:gridSpan w:val="2"/>
          </w:tcPr>
          <w:p w14:paraId="0B16C49C" w14:textId="77777777" w:rsidR="00381199" w:rsidRPr="00321931" w:rsidRDefault="00381199"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tested party or tested transaction and the transfer pricing method used, and the basis for their </w:t>
            </w:r>
            <w:proofErr w:type="gramStart"/>
            <w:r w:rsidRPr="00321931">
              <w:rPr>
                <w:rFonts w:ascii="Palatino Linotype" w:hAnsi="Palatino Linotype" w:cstheme="majorBidi"/>
              </w:rPr>
              <w:t>selection;</w:t>
            </w:r>
            <w:proofErr w:type="gramEnd"/>
          </w:p>
          <w:p w14:paraId="03815CAF" w14:textId="77777777" w:rsidR="00381199" w:rsidRPr="00321931" w:rsidRDefault="00381199" w:rsidP="003772B6">
            <w:pPr>
              <w:spacing w:line="276" w:lineRule="auto"/>
              <w:jc w:val="both"/>
              <w:rPr>
                <w:rFonts w:ascii="Palatino Linotype" w:hAnsi="Palatino Linotype" w:cstheme="majorBidi"/>
              </w:rPr>
            </w:pPr>
          </w:p>
        </w:tc>
      </w:tr>
      <w:tr w:rsidR="00415A84" w:rsidRPr="00321931" w14:paraId="3477F97E" w14:textId="77777777" w:rsidTr="007E3C0D">
        <w:trPr>
          <w:trHeight w:val="378"/>
        </w:trPr>
        <w:tc>
          <w:tcPr>
            <w:tcW w:w="1890" w:type="dxa"/>
          </w:tcPr>
          <w:p w14:paraId="225196C1" w14:textId="77777777" w:rsidR="005A011E" w:rsidRPr="00933C7D" w:rsidRDefault="005A011E" w:rsidP="003772B6">
            <w:pPr>
              <w:spacing w:line="276" w:lineRule="auto"/>
              <w:rPr>
                <w:rFonts w:ascii="Palatino Linotype" w:hAnsi="Palatino Linotype" w:cstheme="majorBidi"/>
                <w:b/>
                <w:bCs/>
                <w:sz w:val="18"/>
                <w:szCs w:val="18"/>
              </w:rPr>
            </w:pPr>
          </w:p>
        </w:tc>
        <w:tc>
          <w:tcPr>
            <w:tcW w:w="630" w:type="dxa"/>
          </w:tcPr>
          <w:p w14:paraId="2F112BE7" w14:textId="77777777" w:rsidR="005A011E" w:rsidRPr="00321931" w:rsidRDefault="005A011E" w:rsidP="003772B6">
            <w:pPr>
              <w:spacing w:line="276" w:lineRule="auto"/>
              <w:jc w:val="both"/>
              <w:rPr>
                <w:rFonts w:ascii="Palatino Linotype" w:hAnsi="Palatino Linotype" w:cstheme="majorBidi"/>
              </w:rPr>
            </w:pPr>
          </w:p>
        </w:tc>
        <w:tc>
          <w:tcPr>
            <w:tcW w:w="540" w:type="dxa"/>
          </w:tcPr>
          <w:p w14:paraId="40CE02D4" w14:textId="77777777" w:rsidR="005A011E" w:rsidRPr="00321931" w:rsidRDefault="005A011E" w:rsidP="003772B6">
            <w:pPr>
              <w:spacing w:line="276" w:lineRule="auto"/>
              <w:jc w:val="both"/>
              <w:rPr>
                <w:rFonts w:ascii="Palatino Linotype" w:hAnsi="Palatino Linotype" w:cstheme="majorBidi"/>
              </w:rPr>
            </w:pPr>
          </w:p>
        </w:tc>
        <w:tc>
          <w:tcPr>
            <w:tcW w:w="630" w:type="dxa"/>
          </w:tcPr>
          <w:p w14:paraId="3A4F448D" w14:textId="77777777" w:rsidR="005A011E" w:rsidRPr="00321931" w:rsidRDefault="005A011E" w:rsidP="005A011E">
            <w:pPr>
              <w:jc w:val="both"/>
              <w:rPr>
                <w:rFonts w:ascii="Palatino Linotype" w:hAnsi="Palatino Linotype" w:cstheme="majorBidi"/>
              </w:rPr>
            </w:pPr>
          </w:p>
        </w:tc>
        <w:tc>
          <w:tcPr>
            <w:tcW w:w="630" w:type="dxa"/>
          </w:tcPr>
          <w:p w14:paraId="0E059E48" w14:textId="77777777" w:rsidR="005A011E" w:rsidRPr="00321931" w:rsidRDefault="005A011E" w:rsidP="003772B6">
            <w:pPr>
              <w:spacing w:line="276" w:lineRule="auto"/>
              <w:jc w:val="both"/>
              <w:rPr>
                <w:rFonts w:ascii="Palatino Linotype" w:hAnsi="Palatino Linotype" w:cstheme="majorBidi"/>
              </w:rPr>
            </w:pPr>
            <w:r w:rsidRPr="00321931">
              <w:rPr>
                <w:rFonts w:ascii="Palatino Linotype" w:hAnsi="Palatino Linotype" w:cstheme="majorBidi"/>
              </w:rPr>
              <w:t>(iii)</w:t>
            </w:r>
          </w:p>
        </w:tc>
        <w:tc>
          <w:tcPr>
            <w:tcW w:w="4770" w:type="dxa"/>
            <w:gridSpan w:val="2"/>
          </w:tcPr>
          <w:p w14:paraId="0895E775" w14:textId="77777777" w:rsidR="005A011E" w:rsidRPr="00321931" w:rsidRDefault="005A011E" w:rsidP="003772B6">
            <w:pPr>
              <w:spacing w:line="276" w:lineRule="auto"/>
              <w:jc w:val="both"/>
              <w:rPr>
                <w:rFonts w:ascii="Palatino Linotype" w:hAnsi="Palatino Linotype" w:cstheme="majorBidi"/>
              </w:rPr>
            </w:pPr>
            <w:r w:rsidRPr="00321931">
              <w:rPr>
                <w:rFonts w:ascii="Palatino Linotype" w:hAnsi="Palatino Linotype" w:cstheme="majorBidi"/>
              </w:rPr>
              <w:t>a description of the application of that transfer pricing method, including:</w:t>
            </w:r>
          </w:p>
          <w:p w14:paraId="79DD28ED" w14:textId="77777777" w:rsidR="005A011E" w:rsidRPr="00321931" w:rsidRDefault="005A011E" w:rsidP="003772B6">
            <w:pPr>
              <w:spacing w:line="276" w:lineRule="auto"/>
              <w:jc w:val="both"/>
              <w:rPr>
                <w:rFonts w:ascii="Palatino Linotype" w:hAnsi="Palatino Linotype" w:cstheme="majorBidi"/>
              </w:rPr>
            </w:pPr>
          </w:p>
        </w:tc>
      </w:tr>
      <w:tr w:rsidR="00415A84" w:rsidRPr="00321931" w14:paraId="47C3F320" w14:textId="77777777" w:rsidTr="007E3C0D">
        <w:trPr>
          <w:trHeight w:val="378"/>
        </w:trPr>
        <w:tc>
          <w:tcPr>
            <w:tcW w:w="1890" w:type="dxa"/>
          </w:tcPr>
          <w:p w14:paraId="79AB381A" w14:textId="77777777" w:rsidR="005A011E" w:rsidRPr="00933C7D" w:rsidRDefault="005A011E" w:rsidP="003772B6">
            <w:pPr>
              <w:spacing w:line="276" w:lineRule="auto"/>
              <w:rPr>
                <w:rFonts w:ascii="Palatino Linotype" w:hAnsi="Palatino Linotype" w:cstheme="majorBidi"/>
                <w:b/>
                <w:bCs/>
                <w:sz w:val="18"/>
                <w:szCs w:val="18"/>
              </w:rPr>
            </w:pPr>
          </w:p>
        </w:tc>
        <w:tc>
          <w:tcPr>
            <w:tcW w:w="630" w:type="dxa"/>
          </w:tcPr>
          <w:p w14:paraId="38943BC6" w14:textId="77777777" w:rsidR="005A011E" w:rsidRPr="00321931" w:rsidRDefault="005A011E" w:rsidP="003772B6">
            <w:pPr>
              <w:spacing w:line="276" w:lineRule="auto"/>
              <w:jc w:val="both"/>
              <w:rPr>
                <w:rFonts w:ascii="Palatino Linotype" w:hAnsi="Palatino Linotype" w:cstheme="majorBidi"/>
              </w:rPr>
            </w:pPr>
          </w:p>
        </w:tc>
        <w:tc>
          <w:tcPr>
            <w:tcW w:w="540" w:type="dxa"/>
          </w:tcPr>
          <w:p w14:paraId="29C5FE5C" w14:textId="77777777" w:rsidR="005A011E" w:rsidRPr="00321931" w:rsidRDefault="005A011E" w:rsidP="003772B6">
            <w:pPr>
              <w:spacing w:line="276" w:lineRule="auto"/>
              <w:jc w:val="both"/>
              <w:rPr>
                <w:rFonts w:ascii="Palatino Linotype" w:hAnsi="Palatino Linotype" w:cstheme="majorBidi"/>
              </w:rPr>
            </w:pPr>
          </w:p>
        </w:tc>
        <w:tc>
          <w:tcPr>
            <w:tcW w:w="630" w:type="dxa"/>
          </w:tcPr>
          <w:p w14:paraId="2BBBEAB0" w14:textId="77777777" w:rsidR="005A011E" w:rsidRPr="00321931" w:rsidRDefault="005A011E" w:rsidP="005A011E">
            <w:pPr>
              <w:jc w:val="both"/>
              <w:rPr>
                <w:rFonts w:ascii="Palatino Linotype" w:hAnsi="Palatino Linotype" w:cstheme="majorBidi"/>
              </w:rPr>
            </w:pPr>
          </w:p>
        </w:tc>
        <w:tc>
          <w:tcPr>
            <w:tcW w:w="630" w:type="dxa"/>
          </w:tcPr>
          <w:p w14:paraId="63271E8D" w14:textId="77777777" w:rsidR="005A011E" w:rsidRPr="00321931" w:rsidRDefault="005A011E" w:rsidP="003772B6">
            <w:pPr>
              <w:spacing w:line="276" w:lineRule="auto"/>
              <w:jc w:val="both"/>
              <w:rPr>
                <w:rFonts w:ascii="Palatino Linotype" w:hAnsi="Palatino Linotype" w:cstheme="majorBidi"/>
              </w:rPr>
            </w:pPr>
          </w:p>
        </w:tc>
        <w:tc>
          <w:tcPr>
            <w:tcW w:w="720" w:type="dxa"/>
          </w:tcPr>
          <w:p w14:paraId="6ECC0566" w14:textId="77777777" w:rsidR="005A011E" w:rsidRPr="00321931" w:rsidRDefault="005A011E" w:rsidP="003772B6">
            <w:pPr>
              <w:spacing w:line="276" w:lineRule="auto"/>
              <w:jc w:val="both"/>
              <w:rPr>
                <w:rFonts w:ascii="Palatino Linotype" w:hAnsi="Palatino Linotype" w:cstheme="majorBidi"/>
              </w:rPr>
            </w:pPr>
            <w:r w:rsidRPr="00321931">
              <w:rPr>
                <w:rFonts w:ascii="Palatino Linotype" w:hAnsi="Palatino Linotype" w:cstheme="majorBidi"/>
              </w:rPr>
              <w:t>(aa)</w:t>
            </w:r>
          </w:p>
        </w:tc>
        <w:tc>
          <w:tcPr>
            <w:tcW w:w="4050" w:type="dxa"/>
          </w:tcPr>
          <w:p w14:paraId="23F815C3" w14:textId="77777777" w:rsidR="005A011E" w:rsidRPr="00321931" w:rsidRDefault="00213DC2"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list and description of selected comparable companies or </w:t>
            </w:r>
            <w:proofErr w:type="gramStart"/>
            <w:r w:rsidRPr="00321931">
              <w:rPr>
                <w:rFonts w:ascii="Palatino Linotype" w:hAnsi="Palatino Linotype" w:cstheme="majorBidi"/>
              </w:rPr>
              <w:t>transactions;</w:t>
            </w:r>
            <w:proofErr w:type="gramEnd"/>
          </w:p>
          <w:p w14:paraId="7F67AF7B" w14:textId="77777777" w:rsidR="00213DC2" w:rsidRPr="00321931" w:rsidRDefault="00213DC2" w:rsidP="003772B6">
            <w:pPr>
              <w:spacing w:line="276" w:lineRule="auto"/>
              <w:jc w:val="both"/>
              <w:rPr>
                <w:rFonts w:ascii="Palatino Linotype" w:hAnsi="Palatino Linotype" w:cstheme="majorBidi"/>
              </w:rPr>
            </w:pPr>
          </w:p>
        </w:tc>
      </w:tr>
      <w:tr w:rsidR="00415A84" w:rsidRPr="00321931" w14:paraId="418E06D8" w14:textId="77777777" w:rsidTr="007E3C0D">
        <w:trPr>
          <w:trHeight w:val="378"/>
        </w:trPr>
        <w:tc>
          <w:tcPr>
            <w:tcW w:w="1890" w:type="dxa"/>
          </w:tcPr>
          <w:p w14:paraId="4352ECC4" w14:textId="77777777" w:rsidR="00010332" w:rsidRPr="00933C7D" w:rsidRDefault="00010332" w:rsidP="003772B6">
            <w:pPr>
              <w:spacing w:line="276" w:lineRule="auto"/>
              <w:rPr>
                <w:rFonts w:ascii="Palatino Linotype" w:hAnsi="Palatino Linotype" w:cstheme="majorBidi"/>
                <w:b/>
                <w:bCs/>
                <w:sz w:val="18"/>
                <w:szCs w:val="18"/>
              </w:rPr>
            </w:pPr>
          </w:p>
        </w:tc>
        <w:tc>
          <w:tcPr>
            <w:tcW w:w="630" w:type="dxa"/>
          </w:tcPr>
          <w:p w14:paraId="5F51E262" w14:textId="77777777" w:rsidR="00010332" w:rsidRPr="00321931" w:rsidRDefault="00010332" w:rsidP="003772B6">
            <w:pPr>
              <w:spacing w:line="276" w:lineRule="auto"/>
              <w:jc w:val="both"/>
              <w:rPr>
                <w:rFonts w:ascii="Palatino Linotype" w:hAnsi="Palatino Linotype" w:cstheme="majorBidi"/>
              </w:rPr>
            </w:pPr>
          </w:p>
        </w:tc>
        <w:tc>
          <w:tcPr>
            <w:tcW w:w="540" w:type="dxa"/>
          </w:tcPr>
          <w:p w14:paraId="6366B8DE" w14:textId="77777777" w:rsidR="00010332" w:rsidRPr="00321931" w:rsidRDefault="00010332" w:rsidP="003772B6">
            <w:pPr>
              <w:spacing w:line="276" w:lineRule="auto"/>
              <w:jc w:val="both"/>
              <w:rPr>
                <w:rFonts w:ascii="Palatino Linotype" w:hAnsi="Palatino Linotype" w:cstheme="majorBidi"/>
              </w:rPr>
            </w:pPr>
          </w:p>
        </w:tc>
        <w:tc>
          <w:tcPr>
            <w:tcW w:w="630" w:type="dxa"/>
          </w:tcPr>
          <w:p w14:paraId="76CF12BB" w14:textId="77777777" w:rsidR="00010332" w:rsidRPr="00321931" w:rsidRDefault="00010332" w:rsidP="00010332">
            <w:pPr>
              <w:jc w:val="both"/>
              <w:rPr>
                <w:rFonts w:ascii="Palatino Linotype" w:hAnsi="Palatino Linotype" w:cstheme="majorBidi"/>
              </w:rPr>
            </w:pPr>
          </w:p>
        </w:tc>
        <w:tc>
          <w:tcPr>
            <w:tcW w:w="630" w:type="dxa"/>
          </w:tcPr>
          <w:p w14:paraId="010E9A55" w14:textId="77777777" w:rsidR="00010332" w:rsidRPr="00321931" w:rsidRDefault="00010332" w:rsidP="003772B6">
            <w:pPr>
              <w:spacing w:line="276" w:lineRule="auto"/>
              <w:jc w:val="both"/>
              <w:rPr>
                <w:rFonts w:ascii="Palatino Linotype" w:hAnsi="Palatino Linotype" w:cstheme="majorBidi"/>
              </w:rPr>
            </w:pPr>
          </w:p>
        </w:tc>
        <w:tc>
          <w:tcPr>
            <w:tcW w:w="720" w:type="dxa"/>
          </w:tcPr>
          <w:p w14:paraId="28434EE0" w14:textId="77777777" w:rsidR="00010332" w:rsidRPr="00321931" w:rsidRDefault="00010332" w:rsidP="003772B6">
            <w:pPr>
              <w:spacing w:line="276" w:lineRule="auto"/>
              <w:jc w:val="both"/>
              <w:rPr>
                <w:rFonts w:ascii="Palatino Linotype" w:hAnsi="Palatino Linotype" w:cstheme="majorBidi"/>
              </w:rPr>
            </w:pPr>
            <w:r w:rsidRPr="00321931">
              <w:rPr>
                <w:rFonts w:ascii="Palatino Linotype" w:hAnsi="Palatino Linotype" w:cstheme="majorBidi"/>
              </w:rPr>
              <w:t>(bb)</w:t>
            </w:r>
          </w:p>
        </w:tc>
        <w:tc>
          <w:tcPr>
            <w:tcW w:w="4050" w:type="dxa"/>
          </w:tcPr>
          <w:p w14:paraId="3935B05B" w14:textId="77777777" w:rsidR="00010332" w:rsidRPr="00321931" w:rsidRDefault="00010332"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basis for selecting the comparable companies or </w:t>
            </w:r>
            <w:proofErr w:type="gramStart"/>
            <w:r w:rsidRPr="00321931">
              <w:rPr>
                <w:rFonts w:ascii="Palatino Linotype" w:hAnsi="Palatino Linotype" w:cstheme="majorBidi"/>
              </w:rPr>
              <w:t>transactions;</w:t>
            </w:r>
            <w:proofErr w:type="gramEnd"/>
          </w:p>
          <w:p w14:paraId="5BBB7540" w14:textId="77777777" w:rsidR="00010332" w:rsidRPr="00321931" w:rsidRDefault="00010332" w:rsidP="003772B6">
            <w:pPr>
              <w:spacing w:line="276" w:lineRule="auto"/>
              <w:jc w:val="both"/>
              <w:rPr>
                <w:rFonts w:ascii="Palatino Linotype" w:hAnsi="Palatino Linotype" w:cstheme="majorBidi"/>
              </w:rPr>
            </w:pPr>
          </w:p>
        </w:tc>
      </w:tr>
      <w:tr w:rsidR="00415A84" w:rsidRPr="00321931" w14:paraId="3226F42B" w14:textId="77777777" w:rsidTr="007E3C0D">
        <w:trPr>
          <w:trHeight w:val="378"/>
        </w:trPr>
        <w:tc>
          <w:tcPr>
            <w:tcW w:w="1890" w:type="dxa"/>
          </w:tcPr>
          <w:p w14:paraId="00A96A35" w14:textId="77777777" w:rsidR="00010332" w:rsidRPr="00933C7D" w:rsidRDefault="00010332" w:rsidP="003772B6">
            <w:pPr>
              <w:spacing w:line="276" w:lineRule="auto"/>
              <w:rPr>
                <w:rFonts w:ascii="Palatino Linotype" w:hAnsi="Palatino Linotype" w:cstheme="majorBidi"/>
                <w:b/>
                <w:bCs/>
                <w:sz w:val="18"/>
                <w:szCs w:val="18"/>
              </w:rPr>
            </w:pPr>
          </w:p>
        </w:tc>
        <w:tc>
          <w:tcPr>
            <w:tcW w:w="630" w:type="dxa"/>
          </w:tcPr>
          <w:p w14:paraId="7E5C2FA5" w14:textId="77777777" w:rsidR="00010332" w:rsidRPr="00321931" w:rsidRDefault="00010332" w:rsidP="003772B6">
            <w:pPr>
              <w:spacing w:line="276" w:lineRule="auto"/>
              <w:jc w:val="both"/>
              <w:rPr>
                <w:rFonts w:ascii="Palatino Linotype" w:hAnsi="Palatino Linotype" w:cstheme="majorBidi"/>
              </w:rPr>
            </w:pPr>
          </w:p>
        </w:tc>
        <w:tc>
          <w:tcPr>
            <w:tcW w:w="540" w:type="dxa"/>
          </w:tcPr>
          <w:p w14:paraId="319CB638" w14:textId="77777777" w:rsidR="00010332" w:rsidRPr="00321931" w:rsidRDefault="00010332" w:rsidP="003772B6">
            <w:pPr>
              <w:spacing w:line="276" w:lineRule="auto"/>
              <w:jc w:val="both"/>
              <w:rPr>
                <w:rFonts w:ascii="Palatino Linotype" w:hAnsi="Palatino Linotype" w:cstheme="majorBidi"/>
              </w:rPr>
            </w:pPr>
          </w:p>
        </w:tc>
        <w:tc>
          <w:tcPr>
            <w:tcW w:w="630" w:type="dxa"/>
          </w:tcPr>
          <w:p w14:paraId="6407494D" w14:textId="77777777" w:rsidR="00010332" w:rsidRPr="00321931" w:rsidRDefault="00010332" w:rsidP="00010332">
            <w:pPr>
              <w:jc w:val="both"/>
              <w:rPr>
                <w:rFonts w:ascii="Palatino Linotype" w:hAnsi="Palatino Linotype" w:cstheme="majorBidi"/>
              </w:rPr>
            </w:pPr>
          </w:p>
        </w:tc>
        <w:tc>
          <w:tcPr>
            <w:tcW w:w="630" w:type="dxa"/>
          </w:tcPr>
          <w:p w14:paraId="0693E957" w14:textId="77777777" w:rsidR="00010332" w:rsidRPr="00321931" w:rsidRDefault="00010332" w:rsidP="003772B6">
            <w:pPr>
              <w:spacing w:line="276" w:lineRule="auto"/>
              <w:jc w:val="both"/>
              <w:rPr>
                <w:rFonts w:ascii="Palatino Linotype" w:hAnsi="Palatino Linotype" w:cstheme="majorBidi"/>
              </w:rPr>
            </w:pPr>
          </w:p>
        </w:tc>
        <w:tc>
          <w:tcPr>
            <w:tcW w:w="720" w:type="dxa"/>
          </w:tcPr>
          <w:p w14:paraId="736B6454" w14:textId="77777777" w:rsidR="00010332" w:rsidRPr="00321931" w:rsidRDefault="00010332" w:rsidP="003772B6">
            <w:pPr>
              <w:spacing w:line="276" w:lineRule="auto"/>
              <w:jc w:val="both"/>
              <w:rPr>
                <w:rFonts w:ascii="Palatino Linotype" w:hAnsi="Palatino Linotype" w:cstheme="majorBidi"/>
              </w:rPr>
            </w:pPr>
            <w:r w:rsidRPr="00321931">
              <w:rPr>
                <w:rFonts w:ascii="Palatino Linotype" w:hAnsi="Palatino Linotype" w:cstheme="majorBidi"/>
              </w:rPr>
              <w:t>(cc)</w:t>
            </w:r>
          </w:p>
        </w:tc>
        <w:tc>
          <w:tcPr>
            <w:tcW w:w="4050" w:type="dxa"/>
          </w:tcPr>
          <w:p w14:paraId="79F4CD6B" w14:textId="77777777" w:rsidR="00010332" w:rsidRPr="00321931" w:rsidRDefault="00010332" w:rsidP="003772B6">
            <w:pPr>
              <w:spacing w:line="276" w:lineRule="auto"/>
              <w:jc w:val="both"/>
              <w:rPr>
                <w:rFonts w:ascii="Palatino Linotype" w:hAnsi="Palatino Linotype" w:cstheme="majorBidi"/>
              </w:rPr>
            </w:pPr>
            <w:r w:rsidRPr="00321931">
              <w:rPr>
                <w:rFonts w:ascii="Palatino Linotype" w:hAnsi="Palatino Linotype" w:cstheme="majorBidi"/>
              </w:rPr>
              <w:t xml:space="preserve">financial data of the comparable companies or </w:t>
            </w:r>
            <w:proofErr w:type="gramStart"/>
            <w:r w:rsidRPr="00321931">
              <w:rPr>
                <w:rFonts w:ascii="Palatino Linotype" w:hAnsi="Palatino Linotype" w:cstheme="majorBidi"/>
              </w:rPr>
              <w:t>transactions;</w:t>
            </w:r>
            <w:proofErr w:type="gramEnd"/>
          </w:p>
          <w:p w14:paraId="3F797915" w14:textId="77777777" w:rsidR="00010332" w:rsidRPr="00321931" w:rsidRDefault="00010332" w:rsidP="003772B6">
            <w:pPr>
              <w:spacing w:line="276" w:lineRule="auto"/>
              <w:jc w:val="both"/>
              <w:rPr>
                <w:rFonts w:ascii="Palatino Linotype" w:hAnsi="Palatino Linotype" w:cstheme="majorBidi"/>
              </w:rPr>
            </w:pPr>
          </w:p>
        </w:tc>
      </w:tr>
      <w:tr w:rsidR="00415A84" w:rsidRPr="00321931" w14:paraId="7B142CB3" w14:textId="77777777" w:rsidTr="007E3C0D">
        <w:trPr>
          <w:trHeight w:val="378"/>
        </w:trPr>
        <w:tc>
          <w:tcPr>
            <w:tcW w:w="1890" w:type="dxa"/>
          </w:tcPr>
          <w:p w14:paraId="1B71F1C9" w14:textId="77777777" w:rsidR="00010332" w:rsidRPr="00933C7D" w:rsidRDefault="00010332" w:rsidP="003772B6">
            <w:pPr>
              <w:spacing w:line="276" w:lineRule="auto"/>
              <w:rPr>
                <w:rFonts w:ascii="Palatino Linotype" w:hAnsi="Palatino Linotype" w:cstheme="majorBidi"/>
                <w:b/>
                <w:bCs/>
                <w:sz w:val="18"/>
                <w:szCs w:val="18"/>
              </w:rPr>
            </w:pPr>
          </w:p>
        </w:tc>
        <w:tc>
          <w:tcPr>
            <w:tcW w:w="630" w:type="dxa"/>
          </w:tcPr>
          <w:p w14:paraId="7D556F87" w14:textId="77777777" w:rsidR="00010332" w:rsidRPr="00321931" w:rsidRDefault="00010332" w:rsidP="003772B6">
            <w:pPr>
              <w:spacing w:line="276" w:lineRule="auto"/>
              <w:jc w:val="both"/>
              <w:rPr>
                <w:rFonts w:ascii="Palatino Linotype" w:hAnsi="Palatino Linotype" w:cstheme="majorBidi"/>
              </w:rPr>
            </w:pPr>
          </w:p>
        </w:tc>
        <w:tc>
          <w:tcPr>
            <w:tcW w:w="540" w:type="dxa"/>
          </w:tcPr>
          <w:p w14:paraId="51A48122" w14:textId="77777777" w:rsidR="00010332" w:rsidRPr="00321931" w:rsidRDefault="00010332" w:rsidP="003772B6">
            <w:pPr>
              <w:spacing w:line="276" w:lineRule="auto"/>
              <w:jc w:val="both"/>
              <w:rPr>
                <w:rFonts w:ascii="Palatino Linotype" w:hAnsi="Palatino Linotype" w:cstheme="majorBidi"/>
              </w:rPr>
            </w:pPr>
          </w:p>
        </w:tc>
        <w:tc>
          <w:tcPr>
            <w:tcW w:w="630" w:type="dxa"/>
          </w:tcPr>
          <w:p w14:paraId="2EFACF31" w14:textId="77777777" w:rsidR="00010332" w:rsidRPr="00321931" w:rsidRDefault="00010332" w:rsidP="00010332">
            <w:pPr>
              <w:jc w:val="both"/>
              <w:rPr>
                <w:rFonts w:ascii="Palatino Linotype" w:hAnsi="Palatino Linotype" w:cstheme="majorBidi"/>
              </w:rPr>
            </w:pPr>
          </w:p>
        </w:tc>
        <w:tc>
          <w:tcPr>
            <w:tcW w:w="630" w:type="dxa"/>
          </w:tcPr>
          <w:p w14:paraId="66EB5C78" w14:textId="77777777" w:rsidR="00010332" w:rsidRPr="00321931" w:rsidRDefault="00010332" w:rsidP="003772B6">
            <w:pPr>
              <w:spacing w:line="276" w:lineRule="auto"/>
              <w:jc w:val="both"/>
              <w:rPr>
                <w:rFonts w:ascii="Palatino Linotype" w:hAnsi="Palatino Linotype" w:cstheme="majorBidi"/>
              </w:rPr>
            </w:pPr>
          </w:p>
        </w:tc>
        <w:tc>
          <w:tcPr>
            <w:tcW w:w="720" w:type="dxa"/>
          </w:tcPr>
          <w:p w14:paraId="6E476758" w14:textId="77777777" w:rsidR="00010332" w:rsidRPr="00321931" w:rsidRDefault="00010332" w:rsidP="003772B6">
            <w:pPr>
              <w:spacing w:line="276" w:lineRule="auto"/>
              <w:jc w:val="both"/>
              <w:rPr>
                <w:rFonts w:ascii="Palatino Linotype" w:hAnsi="Palatino Linotype" w:cstheme="majorBidi"/>
              </w:rPr>
            </w:pPr>
            <w:r w:rsidRPr="00321931">
              <w:rPr>
                <w:rFonts w:ascii="Palatino Linotype" w:hAnsi="Palatino Linotype" w:cstheme="majorBidi"/>
              </w:rPr>
              <w:t>(dd)</w:t>
            </w:r>
          </w:p>
        </w:tc>
        <w:tc>
          <w:tcPr>
            <w:tcW w:w="4050" w:type="dxa"/>
          </w:tcPr>
          <w:p w14:paraId="74EF2171" w14:textId="77777777" w:rsidR="00754FAA" w:rsidRDefault="00390552" w:rsidP="003772B6">
            <w:pPr>
              <w:spacing w:line="276" w:lineRule="auto"/>
              <w:jc w:val="both"/>
              <w:rPr>
                <w:rFonts w:ascii="Palatino Linotype" w:hAnsi="Palatino Linotype" w:cstheme="majorBidi"/>
              </w:rPr>
            </w:pPr>
            <w:r w:rsidRPr="00321931">
              <w:rPr>
                <w:rFonts w:ascii="Palatino Linotype" w:hAnsi="Palatino Linotype" w:cstheme="majorBidi"/>
              </w:rPr>
              <w:t xml:space="preserve">assumptions </w:t>
            </w:r>
            <w:proofErr w:type="gramStart"/>
            <w:r w:rsidR="00754FAA" w:rsidRPr="00321931">
              <w:rPr>
                <w:rFonts w:ascii="Palatino Linotype" w:hAnsi="Palatino Linotype" w:cstheme="majorBidi"/>
              </w:rPr>
              <w:t>made;</w:t>
            </w:r>
            <w:proofErr w:type="gramEnd"/>
          </w:p>
          <w:p w14:paraId="44548F8F" w14:textId="77777777" w:rsidR="003772B6" w:rsidRPr="00321931" w:rsidRDefault="003772B6" w:rsidP="003772B6">
            <w:pPr>
              <w:spacing w:line="276" w:lineRule="auto"/>
              <w:jc w:val="both"/>
              <w:rPr>
                <w:rFonts w:ascii="Palatino Linotype" w:hAnsi="Palatino Linotype" w:cstheme="majorBidi"/>
              </w:rPr>
            </w:pPr>
          </w:p>
        </w:tc>
      </w:tr>
      <w:tr w:rsidR="00415A84" w:rsidRPr="00321931" w14:paraId="22CA29C8" w14:textId="77777777" w:rsidTr="007E3C0D">
        <w:trPr>
          <w:trHeight w:val="378"/>
        </w:trPr>
        <w:tc>
          <w:tcPr>
            <w:tcW w:w="1890" w:type="dxa"/>
          </w:tcPr>
          <w:p w14:paraId="5003C15E" w14:textId="77777777" w:rsidR="00754FAA" w:rsidRPr="00933C7D" w:rsidRDefault="00754FAA" w:rsidP="003772B6">
            <w:pPr>
              <w:spacing w:line="276" w:lineRule="auto"/>
              <w:rPr>
                <w:rFonts w:ascii="Palatino Linotype" w:hAnsi="Palatino Linotype" w:cstheme="majorBidi"/>
                <w:b/>
                <w:bCs/>
                <w:sz w:val="18"/>
                <w:szCs w:val="18"/>
              </w:rPr>
            </w:pPr>
          </w:p>
        </w:tc>
        <w:tc>
          <w:tcPr>
            <w:tcW w:w="630" w:type="dxa"/>
          </w:tcPr>
          <w:p w14:paraId="3B1E142E" w14:textId="77777777" w:rsidR="00754FAA" w:rsidRPr="00321931" w:rsidRDefault="00754FAA" w:rsidP="003772B6">
            <w:pPr>
              <w:spacing w:line="276" w:lineRule="auto"/>
              <w:jc w:val="both"/>
              <w:rPr>
                <w:rFonts w:ascii="Palatino Linotype" w:hAnsi="Palatino Linotype" w:cstheme="majorBidi"/>
              </w:rPr>
            </w:pPr>
          </w:p>
        </w:tc>
        <w:tc>
          <w:tcPr>
            <w:tcW w:w="540" w:type="dxa"/>
          </w:tcPr>
          <w:p w14:paraId="0BF90B2C" w14:textId="77777777" w:rsidR="00754FAA" w:rsidRPr="00321931" w:rsidRDefault="00754FAA" w:rsidP="003772B6">
            <w:pPr>
              <w:spacing w:line="276" w:lineRule="auto"/>
              <w:jc w:val="both"/>
              <w:rPr>
                <w:rFonts w:ascii="Palatino Linotype" w:hAnsi="Palatino Linotype" w:cstheme="majorBidi"/>
              </w:rPr>
            </w:pPr>
          </w:p>
        </w:tc>
        <w:tc>
          <w:tcPr>
            <w:tcW w:w="630" w:type="dxa"/>
          </w:tcPr>
          <w:p w14:paraId="6C2E3E05" w14:textId="77777777" w:rsidR="00754FAA" w:rsidRPr="00321931" w:rsidRDefault="00754FAA" w:rsidP="00010332">
            <w:pPr>
              <w:jc w:val="both"/>
              <w:rPr>
                <w:rFonts w:ascii="Palatino Linotype" w:hAnsi="Palatino Linotype" w:cstheme="majorBidi"/>
              </w:rPr>
            </w:pPr>
          </w:p>
        </w:tc>
        <w:tc>
          <w:tcPr>
            <w:tcW w:w="630" w:type="dxa"/>
          </w:tcPr>
          <w:p w14:paraId="450E3802" w14:textId="77777777" w:rsidR="00754FAA" w:rsidRPr="00321931" w:rsidRDefault="00754FAA" w:rsidP="003772B6">
            <w:pPr>
              <w:spacing w:line="276" w:lineRule="auto"/>
              <w:jc w:val="both"/>
              <w:rPr>
                <w:rFonts w:ascii="Palatino Linotype" w:hAnsi="Palatino Linotype" w:cstheme="majorBidi"/>
              </w:rPr>
            </w:pPr>
          </w:p>
        </w:tc>
        <w:tc>
          <w:tcPr>
            <w:tcW w:w="720" w:type="dxa"/>
          </w:tcPr>
          <w:p w14:paraId="4D8777AC" w14:textId="77777777" w:rsidR="00754FAA" w:rsidRPr="00321931" w:rsidRDefault="00754FAA" w:rsidP="003772B6">
            <w:pPr>
              <w:spacing w:line="276" w:lineRule="auto"/>
              <w:jc w:val="both"/>
              <w:rPr>
                <w:rFonts w:ascii="Palatino Linotype" w:hAnsi="Palatino Linotype" w:cstheme="majorBidi"/>
              </w:rPr>
            </w:pPr>
            <w:r w:rsidRPr="00321931">
              <w:rPr>
                <w:rFonts w:ascii="Palatino Linotype" w:hAnsi="Palatino Linotype" w:cstheme="majorBidi"/>
              </w:rPr>
              <w:t>(</w:t>
            </w:r>
            <w:proofErr w:type="spellStart"/>
            <w:r w:rsidRPr="00321931">
              <w:rPr>
                <w:rFonts w:ascii="Palatino Linotype" w:hAnsi="Palatino Linotype" w:cstheme="majorBidi"/>
              </w:rPr>
              <w:t>ee</w:t>
            </w:r>
            <w:proofErr w:type="spellEnd"/>
            <w:r w:rsidRPr="00321931">
              <w:rPr>
                <w:rFonts w:ascii="Palatino Linotype" w:hAnsi="Palatino Linotype" w:cstheme="majorBidi"/>
              </w:rPr>
              <w:t>)</w:t>
            </w:r>
          </w:p>
        </w:tc>
        <w:tc>
          <w:tcPr>
            <w:tcW w:w="4050" w:type="dxa"/>
          </w:tcPr>
          <w:p w14:paraId="6106DE3E" w14:textId="77777777" w:rsidR="00754FAA" w:rsidRPr="00321931" w:rsidRDefault="00CC1B8C" w:rsidP="003772B6">
            <w:pPr>
              <w:spacing w:line="276" w:lineRule="auto"/>
              <w:jc w:val="both"/>
              <w:rPr>
                <w:rFonts w:ascii="Palatino Linotype" w:hAnsi="Palatino Linotype" w:cstheme="majorBidi"/>
              </w:rPr>
            </w:pPr>
            <w:r w:rsidRPr="00321931">
              <w:rPr>
                <w:rFonts w:ascii="Palatino Linotype" w:hAnsi="Palatino Linotype" w:cstheme="majorBidi"/>
              </w:rPr>
              <w:t>information and documents to support any adjustments made to achieve comparability between the tested party or tested transaction and the comparable companies or transactions</w:t>
            </w:r>
            <w:r w:rsidR="0085632B" w:rsidRPr="00321931">
              <w:rPr>
                <w:rFonts w:ascii="Palatino Linotype" w:hAnsi="Palatino Linotype" w:cstheme="majorBidi"/>
              </w:rPr>
              <w:t>.</w:t>
            </w:r>
          </w:p>
          <w:p w14:paraId="5F88EBC7" w14:textId="77777777" w:rsidR="00CC1B8C" w:rsidRPr="00321931" w:rsidRDefault="00CC1B8C" w:rsidP="003772B6">
            <w:pPr>
              <w:spacing w:line="276" w:lineRule="auto"/>
              <w:jc w:val="both"/>
              <w:rPr>
                <w:rFonts w:ascii="Palatino Linotype" w:hAnsi="Palatino Linotype" w:cstheme="majorBidi"/>
              </w:rPr>
            </w:pPr>
          </w:p>
        </w:tc>
      </w:tr>
      <w:tr w:rsidR="00415A84" w:rsidRPr="00321931" w14:paraId="385E6F7D" w14:textId="77777777" w:rsidTr="007E3C0D">
        <w:trPr>
          <w:trHeight w:val="378"/>
        </w:trPr>
        <w:tc>
          <w:tcPr>
            <w:tcW w:w="1890" w:type="dxa"/>
          </w:tcPr>
          <w:p w14:paraId="40B19421" w14:textId="77777777" w:rsidR="00CC1B8C" w:rsidRPr="00933C7D" w:rsidRDefault="00CC1B8C" w:rsidP="003772B6">
            <w:pPr>
              <w:spacing w:line="276" w:lineRule="auto"/>
              <w:rPr>
                <w:rFonts w:ascii="Palatino Linotype" w:hAnsi="Palatino Linotype" w:cstheme="majorBidi"/>
                <w:b/>
                <w:bCs/>
                <w:sz w:val="18"/>
                <w:szCs w:val="18"/>
              </w:rPr>
            </w:pPr>
          </w:p>
        </w:tc>
        <w:tc>
          <w:tcPr>
            <w:tcW w:w="630" w:type="dxa"/>
          </w:tcPr>
          <w:p w14:paraId="778C91D9" w14:textId="77777777" w:rsidR="00CC1B8C" w:rsidRPr="00321931" w:rsidRDefault="00CC1B8C" w:rsidP="003772B6">
            <w:pPr>
              <w:spacing w:line="276" w:lineRule="auto"/>
              <w:jc w:val="both"/>
              <w:rPr>
                <w:rFonts w:ascii="Palatino Linotype" w:hAnsi="Palatino Linotype" w:cstheme="majorBidi"/>
              </w:rPr>
            </w:pPr>
          </w:p>
        </w:tc>
        <w:tc>
          <w:tcPr>
            <w:tcW w:w="540" w:type="dxa"/>
          </w:tcPr>
          <w:p w14:paraId="66C42632" w14:textId="77777777" w:rsidR="00CC1B8C" w:rsidRPr="00321931" w:rsidRDefault="00CC1B8C" w:rsidP="003772B6">
            <w:pPr>
              <w:spacing w:line="276" w:lineRule="auto"/>
              <w:jc w:val="both"/>
              <w:rPr>
                <w:rFonts w:ascii="Palatino Linotype" w:hAnsi="Palatino Linotype" w:cstheme="majorBidi"/>
              </w:rPr>
            </w:pPr>
          </w:p>
        </w:tc>
        <w:tc>
          <w:tcPr>
            <w:tcW w:w="630" w:type="dxa"/>
          </w:tcPr>
          <w:p w14:paraId="0DFA2974" w14:textId="77777777" w:rsidR="00CC1B8C" w:rsidRPr="00321931" w:rsidRDefault="00CC1B8C" w:rsidP="00010332">
            <w:pPr>
              <w:jc w:val="both"/>
              <w:rPr>
                <w:rFonts w:ascii="Palatino Linotype" w:hAnsi="Palatino Linotype" w:cstheme="majorBidi"/>
              </w:rPr>
            </w:pPr>
          </w:p>
        </w:tc>
        <w:tc>
          <w:tcPr>
            <w:tcW w:w="630" w:type="dxa"/>
          </w:tcPr>
          <w:p w14:paraId="51150016" w14:textId="77777777" w:rsidR="00CC1B8C" w:rsidRPr="00321931" w:rsidRDefault="00CC1B8C" w:rsidP="00010332">
            <w:pPr>
              <w:jc w:val="both"/>
              <w:rPr>
                <w:rFonts w:ascii="Palatino Linotype" w:hAnsi="Palatino Linotype" w:cstheme="majorBidi"/>
              </w:rPr>
            </w:pPr>
            <w:r w:rsidRPr="00321931">
              <w:rPr>
                <w:rFonts w:ascii="Palatino Linotype" w:hAnsi="Palatino Linotype" w:cstheme="majorBidi"/>
              </w:rPr>
              <w:t>(iv)</w:t>
            </w:r>
          </w:p>
        </w:tc>
        <w:tc>
          <w:tcPr>
            <w:tcW w:w="4770" w:type="dxa"/>
            <w:gridSpan w:val="2"/>
          </w:tcPr>
          <w:p w14:paraId="2DB127A2" w14:textId="77777777" w:rsidR="00CC1B8C" w:rsidRPr="00321931" w:rsidRDefault="00E156D7" w:rsidP="003772B6">
            <w:pPr>
              <w:spacing w:line="276" w:lineRule="auto"/>
              <w:jc w:val="both"/>
              <w:rPr>
                <w:rFonts w:ascii="Palatino Linotype" w:hAnsi="Palatino Linotype" w:cstheme="majorBidi"/>
              </w:rPr>
            </w:pPr>
            <w:r w:rsidRPr="00321931">
              <w:rPr>
                <w:rFonts w:ascii="Palatino Linotype" w:hAnsi="Palatino Linotype" w:cstheme="majorBidi"/>
              </w:rPr>
              <w:t xml:space="preserve">the arm’s length price and the computations made in arriving at that </w:t>
            </w:r>
            <w:proofErr w:type="gramStart"/>
            <w:r w:rsidRPr="00321931">
              <w:rPr>
                <w:rFonts w:ascii="Palatino Linotype" w:hAnsi="Palatino Linotype" w:cstheme="majorBidi"/>
              </w:rPr>
              <w:t>price;</w:t>
            </w:r>
            <w:proofErr w:type="gramEnd"/>
          </w:p>
          <w:p w14:paraId="004A2AF3" w14:textId="77777777" w:rsidR="00E156D7" w:rsidRPr="00321931" w:rsidRDefault="00E156D7" w:rsidP="003772B6">
            <w:pPr>
              <w:spacing w:line="276" w:lineRule="auto"/>
              <w:jc w:val="both"/>
              <w:rPr>
                <w:rFonts w:ascii="Palatino Linotype" w:hAnsi="Palatino Linotype" w:cstheme="majorBidi"/>
              </w:rPr>
            </w:pPr>
          </w:p>
        </w:tc>
      </w:tr>
      <w:tr w:rsidR="00415A84" w:rsidRPr="00321931" w14:paraId="044F22BF" w14:textId="77777777" w:rsidTr="007E3C0D">
        <w:trPr>
          <w:trHeight w:val="378"/>
        </w:trPr>
        <w:tc>
          <w:tcPr>
            <w:tcW w:w="1890" w:type="dxa"/>
          </w:tcPr>
          <w:p w14:paraId="19E7E5A1" w14:textId="77777777" w:rsidR="00B614D2" w:rsidRPr="00933C7D" w:rsidRDefault="00B614D2" w:rsidP="003772B6">
            <w:pPr>
              <w:spacing w:line="276" w:lineRule="auto"/>
              <w:rPr>
                <w:rFonts w:ascii="Palatino Linotype" w:hAnsi="Palatino Linotype" w:cstheme="majorBidi"/>
                <w:b/>
                <w:bCs/>
                <w:sz w:val="18"/>
                <w:szCs w:val="18"/>
              </w:rPr>
            </w:pPr>
          </w:p>
        </w:tc>
        <w:tc>
          <w:tcPr>
            <w:tcW w:w="630" w:type="dxa"/>
          </w:tcPr>
          <w:p w14:paraId="706123D5" w14:textId="77777777" w:rsidR="00B614D2" w:rsidRPr="00321931" w:rsidRDefault="00B614D2" w:rsidP="003772B6">
            <w:pPr>
              <w:spacing w:line="276" w:lineRule="auto"/>
              <w:jc w:val="both"/>
              <w:rPr>
                <w:rFonts w:ascii="Palatino Linotype" w:hAnsi="Palatino Linotype" w:cstheme="majorBidi"/>
              </w:rPr>
            </w:pPr>
          </w:p>
        </w:tc>
        <w:tc>
          <w:tcPr>
            <w:tcW w:w="540" w:type="dxa"/>
          </w:tcPr>
          <w:p w14:paraId="59A8941E" w14:textId="77777777" w:rsidR="00B614D2" w:rsidRPr="00321931" w:rsidRDefault="00B614D2" w:rsidP="003772B6">
            <w:pPr>
              <w:spacing w:line="276" w:lineRule="auto"/>
              <w:jc w:val="both"/>
              <w:rPr>
                <w:rFonts w:ascii="Palatino Linotype" w:hAnsi="Palatino Linotype" w:cstheme="majorBidi"/>
              </w:rPr>
            </w:pPr>
          </w:p>
        </w:tc>
        <w:tc>
          <w:tcPr>
            <w:tcW w:w="630" w:type="dxa"/>
          </w:tcPr>
          <w:p w14:paraId="334738E9" w14:textId="77777777" w:rsidR="00B614D2" w:rsidRPr="00321931" w:rsidRDefault="00B614D2" w:rsidP="00B614D2">
            <w:pPr>
              <w:jc w:val="both"/>
              <w:rPr>
                <w:rFonts w:ascii="Palatino Linotype" w:hAnsi="Palatino Linotype" w:cstheme="majorBidi"/>
              </w:rPr>
            </w:pPr>
          </w:p>
        </w:tc>
        <w:tc>
          <w:tcPr>
            <w:tcW w:w="630" w:type="dxa"/>
          </w:tcPr>
          <w:p w14:paraId="4E5F1FB4" w14:textId="77777777" w:rsidR="00B614D2" w:rsidRPr="00321931" w:rsidRDefault="00B614D2" w:rsidP="00B614D2">
            <w:pPr>
              <w:jc w:val="both"/>
              <w:rPr>
                <w:rFonts w:ascii="Palatino Linotype" w:hAnsi="Palatino Linotype" w:cstheme="majorBidi"/>
              </w:rPr>
            </w:pPr>
            <w:r w:rsidRPr="00321931">
              <w:rPr>
                <w:rFonts w:ascii="Palatino Linotype" w:hAnsi="Palatino Linotype" w:cstheme="majorBidi"/>
              </w:rPr>
              <w:t>(v)</w:t>
            </w:r>
          </w:p>
        </w:tc>
        <w:tc>
          <w:tcPr>
            <w:tcW w:w="4770" w:type="dxa"/>
            <w:gridSpan w:val="2"/>
          </w:tcPr>
          <w:p w14:paraId="32502D29" w14:textId="77777777" w:rsidR="00B614D2" w:rsidRPr="00321931" w:rsidRDefault="00B614D2" w:rsidP="003772B6">
            <w:pPr>
              <w:spacing w:line="276" w:lineRule="auto"/>
              <w:jc w:val="both"/>
              <w:rPr>
                <w:rFonts w:ascii="Palatino Linotype" w:hAnsi="Palatino Linotype" w:cstheme="majorBidi"/>
              </w:rPr>
            </w:pPr>
            <w:r w:rsidRPr="00321931">
              <w:rPr>
                <w:rFonts w:ascii="Palatino Linotype" w:hAnsi="Palatino Linotype" w:cstheme="majorBidi"/>
              </w:rPr>
              <w:t xml:space="preserve">financial information used in applying the transfer pricing method and the basis for deriving such financial </w:t>
            </w:r>
            <w:proofErr w:type="gramStart"/>
            <w:r w:rsidRPr="00321931">
              <w:rPr>
                <w:rFonts w:ascii="Palatino Linotype" w:hAnsi="Palatino Linotype" w:cstheme="majorBidi"/>
              </w:rPr>
              <w:t>information;</w:t>
            </w:r>
            <w:proofErr w:type="gramEnd"/>
          </w:p>
          <w:p w14:paraId="48E13F88" w14:textId="77777777" w:rsidR="00B614D2" w:rsidRPr="00321931" w:rsidRDefault="00B614D2" w:rsidP="003772B6">
            <w:pPr>
              <w:spacing w:line="276" w:lineRule="auto"/>
              <w:jc w:val="both"/>
              <w:rPr>
                <w:rFonts w:ascii="Palatino Linotype" w:hAnsi="Palatino Linotype" w:cstheme="majorBidi"/>
              </w:rPr>
            </w:pPr>
          </w:p>
        </w:tc>
      </w:tr>
      <w:tr w:rsidR="00415A84" w:rsidRPr="00321931" w14:paraId="086510D3" w14:textId="77777777" w:rsidTr="007E3C0D">
        <w:trPr>
          <w:trHeight w:val="378"/>
        </w:trPr>
        <w:tc>
          <w:tcPr>
            <w:tcW w:w="1890" w:type="dxa"/>
          </w:tcPr>
          <w:p w14:paraId="6AF4A0CC" w14:textId="77777777" w:rsidR="001D41BD" w:rsidRPr="00933C7D" w:rsidRDefault="001D41BD" w:rsidP="003772B6">
            <w:pPr>
              <w:spacing w:line="276" w:lineRule="auto"/>
              <w:rPr>
                <w:rFonts w:ascii="Palatino Linotype" w:hAnsi="Palatino Linotype" w:cstheme="majorBidi"/>
                <w:b/>
                <w:bCs/>
                <w:sz w:val="18"/>
                <w:szCs w:val="18"/>
              </w:rPr>
            </w:pPr>
          </w:p>
        </w:tc>
        <w:tc>
          <w:tcPr>
            <w:tcW w:w="630" w:type="dxa"/>
          </w:tcPr>
          <w:p w14:paraId="45C9A0C7" w14:textId="77777777" w:rsidR="001D41BD" w:rsidRPr="00321931" w:rsidRDefault="001D41BD" w:rsidP="003772B6">
            <w:pPr>
              <w:spacing w:line="276" w:lineRule="auto"/>
              <w:jc w:val="both"/>
              <w:rPr>
                <w:rFonts w:ascii="Palatino Linotype" w:hAnsi="Palatino Linotype" w:cstheme="majorBidi"/>
              </w:rPr>
            </w:pPr>
          </w:p>
        </w:tc>
        <w:tc>
          <w:tcPr>
            <w:tcW w:w="540" w:type="dxa"/>
          </w:tcPr>
          <w:p w14:paraId="6329D712" w14:textId="77777777" w:rsidR="001D41BD" w:rsidRPr="00321931" w:rsidRDefault="001D41BD" w:rsidP="003772B6">
            <w:pPr>
              <w:spacing w:line="276" w:lineRule="auto"/>
              <w:jc w:val="both"/>
              <w:rPr>
                <w:rFonts w:ascii="Palatino Linotype" w:hAnsi="Palatino Linotype" w:cstheme="majorBidi"/>
              </w:rPr>
            </w:pPr>
          </w:p>
        </w:tc>
        <w:tc>
          <w:tcPr>
            <w:tcW w:w="630" w:type="dxa"/>
          </w:tcPr>
          <w:p w14:paraId="572CB324" w14:textId="77777777" w:rsidR="001D41BD" w:rsidRPr="00321931" w:rsidRDefault="001D41BD" w:rsidP="00B614D2">
            <w:pPr>
              <w:jc w:val="both"/>
              <w:rPr>
                <w:rFonts w:ascii="Palatino Linotype" w:hAnsi="Palatino Linotype" w:cstheme="majorBidi"/>
              </w:rPr>
            </w:pPr>
          </w:p>
        </w:tc>
        <w:tc>
          <w:tcPr>
            <w:tcW w:w="630" w:type="dxa"/>
          </w:tcPr>
          <w:p w14:paraId="68E1519B" w14:textId="77777777" w:rsidR="001D41BD" w:rsidRPr="00321931" w:rsidRDefault="001D41BD" w:rsidP="00B614D2">
            <w:pPr>
              <w:jc w:val="both"/>
              <w:rPr>
                <w:rFonts w:ascii="Palatino Linotype" w:hAnsi="Palatino Linotype" w:cstheme="majorBidi"/>
              </w:rPr>
            </w:pPr>
            <w:r w:rsidRPr="00321931">
              <w:rPr>
                <w:rFonts w:ascii="Palatino Linotype" w:hAnsi="Palatino Linotype" w:cstheme="majorBidi"/>
              </w:rPr>
              <w:t>(vi)</w:t>
            </w:r>
          </w:p>
        </w:tc>
        <w:tc>
          <w:tcPr>
            <w:tcW w:w="4770" w:type="dxa"/>
            <w:gridSpan w:val="2"/>
          </w:tcPr>
          <w:p w14:paraId="270485DF" w14:textId="77777777" w:rsidR="001D41BD" w:rsidRPr="00321931" w:rsidRDefault="00736F84" w:rsidP="003772B6">
            <w:pPr>
              <w:spacing w:line="276" w:lineRule="auto"/>
              <w:jc w:val="both"/>
              <w:rPr>
                <w:rFonts w:ascii="Palatino Linotype" w:hAnsi="Palatino Linotype" w:cstheme="majorBidi"/>
              </w:rPr>
            </w:pPr>
            <w:r w:rsidRPr="00321931">
              <w:rPr>
                <w:rFonts w:ascii="Palatino Linotype" w:hAnsi="Palatino Linotype" w:cstheme="majorBidi"/>
              </w:rPr>
              <w:t xml:space="preserve">a </w:t>
            </w:r>
            <w:r w:rsidR="001817AC" w:rsidRPr="00321931">
              <w:rPr>
                <w:rFonts w:ascii="Palatino Linotype" w:hAnsi="Palatino Linotype" w:cstheme="majorBidi"/>
              </w:rPr>
              <w:t>description of the cost sharing arrangements, including:</w:t>
            </w:r>
          </w:p>
          <w:p w14:paraId="73907854" w14:textId="77777777" w:rsidR="001817AC" w:rsidRPr="00321931" w:rsidRDefault="001817AC" w:rsidP="003772B6">
            <w:pPr>
              <w:spacing w:line="276" w:lineRule="auto"/>
              <w:jc w:val="both"/>
              <w:rPr>
                <w:rFonts w:ascii="Palatino Linotype" w:hAnsi="Palatino Linotype" w:cstheme="majorBidi"/>
              </w:rPr>
            </w:pPr>
          </w:p>
        </w:tc>
      </w:tr>
      <w:tr w:rsidR="00415A84" w:rsidRPr="00321931" w14:paraId="7B97B2D4" w14:textId="77777777" w:rsidTr="007E3C0D">
        <w:trPr>
          <w:trHeight w:val="378"/>
        </w:trPr>
        <w:tc>
          <w:tcPr>
            <w:tcW w:w="1890" w:type="dxa"/>
          </w:tcPr>
          <w:p w14:paraId="28432E1E" w14:textId="77777777" w:rsidR="001817AC" w:rsidRPr="00933C7D" w:rsidRDefault="001817AC" w:rsidP="003772B6">
            <w:pPr>
              <w:spacing w:line="276" w:lineRule="auto"/>
              <w:rPr>
                <w:rFonts w:ascii="Palatino Linotype" w:hAnsi="Palatino Linotype" w:cstheme="majorBidi"/>
                <w:b/>
                <w:bCs/>
                <w:sz w:val="18"/>
                <w:szCs w:val="18"/>
              </w:rPr>
            </w:pPr>
          </w:p>
        </w:tc>
        <w:tc>
          <w:tcPr>
            <w:tcW w:w="630" w:type="dxa"/>
          </w:tcPr>
          <w:p w14:paraId="344D08F8" w14:textId="77777777" w:rsidR="001817AC" w:rsidRPr="00321931" w:rsidRDefault="001817AC" w:rsidP="003772B6">
            <w:pPr>
              <w:spacing w:line="276" w:lineRule="auto"/>
              <w:jc w:val="both"/>
              <w:rPr>
                <w:rFonts w:ascii="Palatino Linotype" w:hAnsi="Palatino Linotype" w:cstheme="majorBidi"/>
              </w:rPr>
            </w:pPr>
          </w:p>
        </w:tc>
        <w:tc>
          <w:tcPr>
            <w:tcW w:w="540" w:type="dxa"/>
          </w:tcPr>
          <w:p w14:paraId="0A5DE44B" w14:textId="77777777" w:rsidR="001817AC" w:rsidRPr="00321931" w:rsidRDefault="001817AC" w:rsidP="003772B6">
            <w:pPr>
              <w:spacing w:line="276" w:lineRule="auto"/>
              <w:jc w:val="both"/>
              <w:rPr>
                <w:rFonts w:ascii="Palatino Linotype" w:hAnsi="Palatino Linotype" w:cstheme="majorBidi"/>
              </w:rPr>
            </w:pPr>
          </w:p>
        </w:tc>
        <w:tc>
          <w:tcPr>
            <w:tcW w:w="630" w:type="dxa"/>
          </w:tcPr>
          <w:p w14:paraId="4F0BCEB0" w14:textId="77777777" w:rsidR="001817AC" w:rsidRPr="00321931" w:rsidRDefault="001817AC" w:rsidP="00B614D2">
            <w:pPr>
              <w:jc w:val="both"/>
              <w:rPr>
                <w:rFonts w:ascii="Palatino Linotype" w:hAnsi="Palatino Linotype" w:cstheme="majorBidi"/>
              </w:rPr>
            </w:pPr>
          </w:p>
        </w:tc>
        <w:tc>
          <w:tcPr>
            <w:tcW w:w="630" w:type="dxa"/>
          </w:tcPr>
          <w:p w14:paraId="13050DAE" w14:textId="77777777" w:rsidR="001817AC" w:rsidRPr="00321931" w:rsidRDefault="001817AC" w:rsidP="00B614D2">
            <w:pPr>
              <w:jc w:val="both"/>
              <w:rPr>
                <w:rFonts w:ascii="Palatino Linotype" w:hAnsi="Palatino Linotype" w:cstheme="majorBidi"/>
              </w:rPr>
            </w:pPr>
          </w:p>
        </w:tc>
        <w:tc>
          <w:tcPr>
            <w:tcW w:w="720" w:type="dxa"/>
          </w:tcPr>
          <w:p w14:paraId="43EA9A96" w14:textId="77777777" w:rsidR="001817AC" w:rsidRPr="00321931" w:rsidRDefault="00EF1143" w:rsidP="00B614D2">
            <w:pPr>
              <w:jc w:val="both"/>
              <w:rPr>
                <w:rFonts w:ascii="Palatino Linotype" w:hAnsi="Palatino Linotype" w:cstheme="majorBidi"/>
              </w:rPr>
            </w:pPr>
            <w:r w:rsidRPr="00321931">
              <w:rPr>
                <w:rFonts w:ascii="Palatino Linotype" w:hAnsi="Palatino Linotype" w:cstheme="majorBidi"/>
              </w:rPr>
              <w:t>(aa)</w:t>
            </w:r>
          </w:p>
        </w:tc>
        <w:tc>
          <w:tcPr>
            <w:tcW w:w="4050" w:type="dxa"/>
          </w:tcPr>
          <w:p w14:paraId="1A39462F" w14:textId="77777777" w:rsidR="001817AC" w:rsidRPr="00321931" w:rsidRDefault="00EF1143" w:rsidP="00040A6D">
            <w:pPr>
              <w:spacing w:line="276" w:lineRule="auto"/>
              <w:jc w:val="both"/>
              <w:rPr>
                <w:rFonts w:ascii="Palatino Linotype" w:hAnsi="Palatino Linotype" w:cstheme="majorBidi"/>
              </w:rPr>
            </w:pPr>
            <w:r w:rsidRPr="00321931">
              <w:rPr>
                <w:rFonts w:ascii="Palatino Linotype" w:hAnsi="Palatino Linotype" w:cstheme="majorBidi"/>
              </w:rPr>
              <w:t xml:space="preserve">a copy of the cost-sharing </w:t>
            </w:r>
            <w:proofErr w:type="gramStart"/>
            <w:r w:rsidRPr="00321931">
              <w:rPr>
                <w:rFonts w:ascii="Palatino Linotype" w:hAnsi="Palatino Linotype" w:cstheme="majorBidi"/>
              </w:rPr>
              <w:t>agreement;</w:t>
            </w:r>
            <w:proofErr w:type="gramEnd"/>
          </w:p>
          <w:p w14:paraId="22463CD0" w14:textId="77777777" w:rsidR="00EF1143" w:rsidRPr="00321931" w:rsidRDefault="00EF1143" w:rsidP="00040A6D">
            <w:pPr>
              <w:spacing w:line="276" w:lineRule="auto"/>
              <w:jc w:val="both"/>
              <w:rPr>
                <w:rFonts w:ascii="Palatino Linotype" w:hAnsi="Palatino Linotype" w:cstheme="majorBidi"/>
              </w:rPr>
            </w:pPr>
          </w:p>
        </w:tc>
      </w:tr>
      <w:tr w:rsidR="00415A84" w:rsidRPr="00321931" w14:paraId="2E785A24" w14:textId="77777777" w:rsidTr="007E3C0D">
        <w:trPr>
          <w:trHeight w:val="378"/>
        </w:trPr>
        <w:tc>
          <w:tcPr>
            <w:tcW w:w="1890" w:type="dxa"/>
          </w:tcPr>
          <w:p w14:paraId="05B462DC" w14:textId="77777777" w:rsidR="00EF1143" w:rsidRPr="00933C7D" w:rsidRDefault="00EF1143" w:rsidP="003772B6">
            <w:pPr>
              <w:spacing w:line="276" w:lineRule="auto"/>
              <w:rPr>
                <w:rFonts w:ascii="Palatino Linotype" w:hAnsi="Palatino Linotype" w:cstheme="majorBidi"/>
                <w:b/>
                <w:bCs/>
                <w:sz w:val="18"/>
                <w:szCs w:val="18"/>
              </w:rPr>
            </w:pPr>
          </w:p>
        </w:tc>
        <w:tc>
          <w:tcPr>
            <w:tcW w:w="630" w:type="dxa"/>
          </w:tcPr>
          <w:p w14:paraId="74413E80" w14:textId="77777777" w:rsidR="00EF1143" w:rsidRPr="00321931" w:rsidRDefault="00EF1143" w:rsidP="003772B6">
            <w:pPr>
              <w:spacing w:line="276" w:lineRule="auto"/>
              <w:jc w:val="both"/>
              <w:rPr>
                <w:rFonts w:ascii="Palatino Linotype" w:hAnsi="Palatino Linotype" w:cstheme="majorBidi"/>
              </w:rPr>
            </w:pPr>
          </w:p>
        </w:tc>
        <w:tc>
          <w:tcPr>
            <w:tcW w:w="540" w:type="dxa"/>
          </w:tcPr>
          <w:p w14:paraId="0607B7A1" w14:textId="77777777" w:rsidR="00EF1143" w:rsidRPr="00321931" w:rsidRDefault="00EF1143" w:rsidP="003772B6">
            <w:pPr>
              <w:spacing w:line="276" w:lineRule="auto"/>
              <w:jc w:val="both"/>
              <w:rPr>
                <w:rFonts w:ascii="Palatino Linotype" w:hAnsi="Palatino Linotype" w:cstheme="majorBidi"/>
              </w:rPr>
            </w:pPr>
          </w:p>
        </w:tc>
        <w:tc>
          <w:tcPr>
            <w:tcW w:w="630" w:type="dxa"/>
          </w:tcPr>
          <w:p w14:paraId="711C4A2A" w14:textId="77777777" w:rsidR="00EF1143" w:rsidRPr="00321931" w:rsidRDefault="00EF1143" w:rsidP="00B614D2">
            <w:pPr>
              <w:jc w:val="both"/>
              <w:rPr>
                <w:rFonts w:ascii="Palatino Linotype" w:hAnsi="Palatino Linotype" w:cstheme="majorBidi"/>
              </w:rPr>
            </w:pPr>
          </w:p>
        </w:tc>
        <w:tc>
          <w:tcPr>
            <w:tcW w:w="630" w:type="dxa"/>
          </w:tcPr>
          <w:p w14:paraId="655633AD" w14:textId="77777777" w:rsidR="00EF1143" w:rsidRPr="00321931" w:rsidRDefault="00EF1143" w:rsidP="00B614D2">
            <w:pPr>
              <w:jc w:val="both"/>
              <w:rPr>
                <w:rFonts w:ascii="Palatino Linotype" w:hAnsi="Palatino Linotype" w:cstheme="majorBidi"/>
              </w:rPr>
            </w:pPr>
          </w:p>
        </w:tc>
        <w:tc>
          <w:tcPr>
            <w:tcW w:w="720" w:type="dxa"/>
          </w:tcPr>
          <w:p w14:paraId="37096EF5" w14:textId="77777777" w:rsidR="00EF1143" w:rsidRPr="00321931" w:rsidRDefault="00EF1143" w:rsidP="00B614D2">
            <w:pPr>
              <w:jc w:val="both"/>
              <w:rPr>
                <w:rFonts w:ascii="Palatino Linotype" w:hAnsi="Palatino Linotype" w:cstheme="majorBidi"/>
              </w:rPr>
            </w:pPr>
            <w:r w:rsidRPr="00321931">
              <w:rPr>
                <w:rFonts w:ascii="Palatino Linotype" w:hAnsi="Palatino Linotype" w:cstheme="majorBidi"/>
              </w:rPr>
              <w:t>(bb)</w:t>
            </w:r>
          </w:p>
        </w:tc>
        <w:tc>
          <w:tcPr>
            <w:tcW w:w="4050" w:type="dxa"/>
          </w:tcPr>
          <w:p w14:paraId="7FF2712F" w14:textId="43F5FB16" w:rsidR="00EF1143" w:rsidRPr="00321931" w:rsidRDefault="00FA38D2" w:rsidP="00040A6D">
            <w:pPr>
              <w:spacing w:line="276" w:lineRule="auto"/>
              <w:jc w:val="both"/>
              <w:rPr>
                <w:rFonts w:ascii="Palatino Linotype" w:hAnsi="Palatino Linotype" w:cstheme="majorBidi"/>
              </w:rPr>
            </w:pPr>
            <w:r w:rsidRPr="00321931">
              <w:rPr>
                <w:rFonts w:ascii="Palatino Linotype" w:hAnsi="Palatino Linotype" w:cstheme="majorBidi"/>
              </w:rPr>
              <w:t xml:space="preserve">other agreements reached between the </w:t>
            </w:r>
            <w:r w:rsidR="0067540B" w:rsidRPr="00321931">
              <w:rPr>
                <w:rFonts w:ascii="Palatino Linotype" w:hAnsi="Palatino Linotype" w:cstheme="majorBidi"/>
              </w:rPr>
              <w:t xml:space="preserve">associated </w:t>
            </w:r>
            <w:r w:rsidRPr="00321931">
              <w:rPr>
                <w:rFonts w:ascii="Palatino Linotype" w:hAnsi="Palatino Linotype" w:cstheme="majorBidi"/>
              </w:rPr>
              <w:t xml:space="preserve">parties to implement the cost sharing </w:t>
            </w:r>
            <w:proofErr w:type="gramStart"/>
            <w:r w:rsidRPr="00321931">
              <w:rPr>
                <w:rFonts w:ascii="Palatino Linotype" w:hAnsi="Palatino Linotype" w:cstheme="majorBidi"/>
              </w:rPr>
              <w:t>agreement;</w:t>
            </w:r>
            <w:proofErr w:type="gramEnd"/>
          </w:p>
          <w:p w14:paraId="12ED2385" w14:textId="77777777" w:rsidR="00FA38D2" w:rsidRPr="00321931" w:rsidRDefault="00FA38D2" w:rsidP="00040A6D">
            <w:pPr>
              <w:spacing w:line="276" w:lineRule="auto"/>
              <w:jc w:val="both"/>
              <w:rPr>
                <w:rFonts w:ascii="Palatino Linotype" w:hAnsi="Palatino Linotype" w:cstheme="majorBidi"/>
              </w:rPr>
            </w:pPr>
          </w:p>
        </w:tc>
      </w:tr>
      <w:tr w:rsidR="00415A84" w:rsidRPr="00321931" w14:paraId="7507986D" w14:textId="77777777" w:rsidTr="007E3C0D">
        <w:trPr>
          <w:trHeight w:val="378"/>
        </w:trPr>
        <w:tc>
          <w:tcPr>
            <w:tcW w:w="1890" w:type="dxa"/>
          </w:tcPr>
          <w:p w14:paraId="5A26F317" w14:textId="77777777" w:rsidR="00FA38D2" w:rsidRPr="00933C7D" w:rsidRDefault="00FA38D2" w:rsidP="003772B6">
            <w:pPr>
              <w:spacing w:line="276" w:lineRule="auto"/>
              <w:rPr>
                <w:rFonts w:ascii="Palatino Linotype" w:hAnsi="Palatino Linotype" w:cstheme="majorBidi"/>
                <w:b/>
                <w:bCs/>
                <w:sz w:val="18"/>
                <w:szCs w:val="18"/>
              </w:rPr>
            </w:pPr>
          </w:p>
        </w:tc>
        <w:tc>
          <w:tcPr>
            <w:tcW w:w="630" w:type="dxa"/>
          </w:tcPr>
          <w:p w14:paraId="2348954B" w14:textId="77777777" w:rsidR="00FA38D2" w:rsidRPr="00321931" w:rsidRDefault="00FA38D2" w:rsidP="003772B6">
            <w:pPr>
              <w:spacing w:line="276" w:lineRule="auto"/>
              <w:jc w:val="both"/>
              <w:rPr>
                <w:rFonts w:ascii="Palatino Linotype" w:hAnsi="Palatino Linotype" w:cstheme="majorBidi"/>
              </w:rPr>
            </w:pPr>
          </w:p>
        </w:tc>
        <w:tc>
          <w:tcPr>
            <w:tcW w:w="540" w:type="dxa"/>
          </w:tcPr>
          <w:p w14:paraId="32943337" w14:textId="77777777" w:rsidR="00FA38D2" w:rsidRPr="00321931" w:rsidRDefault="00FA38D2" w:rsidP="003772B6">
            <w:pPr>
              <w:spacing w:line="276" w:lineRule="auto"/>
              <w:jc w:val="both"/>
              <w:rPr>
                <w:rFonts w:ascii="Palatino Linotype" w:hAnsi="Palatino Linotype" w:cstheme="majorBidi"/>
              </w:rPr>
            </w:pPr>
          </w:p>
        </w:tc>
        <w:tc>
          <w:tcPr>
            <w:tcW w:w="630" w:type="dxa"/>
          </w:tcPr>
          <w:p w14:paraId="7A7D9E11" w14:textId="77777777" w:rsidR="00FA38D2" w:rsidRPr="00321931" w:rsidRDefault="00FA38D2" w:rsidP="00B614D2">
            <w:pPr>
              <w:jc w:val="both"/>
              <w:rPr>
                <w:rFonts w:ascii="Palatino Linotype" w:hAnsi="Palatino Linotype" w:cstheme="majorBidi"/>
              </w:rPr>
            </w:pPr>
          </w:p>
        </w:tc>
        <w:tc>
          <w:tcPr>
            <w:tcW w:w="630" w:type="dxa"/>
          </w:tcPr>
          <w:p w14:paraId="4025F141" w14:textId="77777777" w:rsidR="00FA38D2" w:rsidRPr="00321931" w:rsidRDefault="00FA38D2" w:rsidP="00B614D2">
            <w:pPr>
              <w:jc w:val="both"/>
              <w:rPr>
                <w:rFonts w:ascii="Palatino Linotype" w:hAnsi="Palatino Linotype" w:cstheme="majorBidi"/>
              </w:rPr>
            </w:pPr>
          </w:p>
        </w:tc>
        <w:tc>
          <w:tcPr>
            <w:tcW w:w="720" w:type="dxa"/>
          </w:tcPr>
          <w:p w14:paraId="0AA526DB" w14:textId="77777777" w:rsidR="00FA38D2" w:rsidRPr="00321931" w:rsidRDefault="00FA38D2" w:rsidP="00B614D2">
            <w:pPr>
              <w:jc w:val="both"/>
              <w:rPr>
                <w:rFonts w:ascii="Palatino Linotype" w:hAnsi="Palatino Linotype" w:cstheme="majorBidi"/>
              </w:rPr>
            </w:pPr>
            <w:r w:rsidRPr="00321931">
              <w:rPr>
                <w:rFonts w:ascii="Palatino Linotype" w:hAnsi="Palatino Linotype" w:cstheme="majorBidi"/>
              </w:rPr>
              <w:t>(cc)</w:t>
            </w:r>
          </w:p>
        </w:tc>
        <w:tc>
          <w:tcPr>
            <w:tcW w:w="4050" w:type="dxa"/>
          </w:tcPr>
          <w:p w14:paraId="7CD043AC" w14:textId="77777777" w:rsidR="00FA38D2" w:rsidRPr="00321931" w:rsidRDefault="00EC31EB" w:rsidP="00040A6D">
            <w:pPr>
              <w:spacing w:line="276" w:lineRule="auto"/>
              <w:jc w:val="both"/>
              <w:rPr>
                <w:rFonts w:ascii="Palatino Linotype" w:hAnsi="Palatino Linotype" w:cstheme="majorBidi"/>
              </w:rPr>
            </w:pPr>
            <w:r w:rsidRPr="00321931">
              <w:rPr>
                <w:rFonts w:ascii="Palatino Linotype" w:hAnsi="Palatino Linotype" w:cstheme="majorBidi"/>
              </w:rPr>
              <w:t xml:space="preserve">a list of participants and the scope of </w:t>
            </w:r>
            <w:proofErr w:type="gramStart"/>
            <w:r w:rsidRPr="00321931">
              <w:rPr>
                <w:rFonts w:ascii="Palatino Linotype" w:hAnsi="Palatino Linotype" w:cstheme="majorBidi"/>
              </w:rPr>
              <w:t>activities;</w:t>
            </w:r>
            <w:proofErr w:type="gramEnd"/>
          </w:p>
          <w:p w14:paraId="5CC10C74" w14:textId="77777777" w:rsidR="00EC31EB" w:rsidRPr="00321931" w:rsidRDefault="00EC31EB" w:rsidP="00040A6D">
            <w:pPr>
              <w:spacing w:line="276" w:lineRule="auto"/>
              <w:jc w:val="both"/>
              <w:rPr>
                <w:rFonts w:ascii="Palatino Linotype" w:hAnsi="Palatino Linotype" w:cstheme="majorBidi"/>
              </w:rPr>
            </w:pPr>
          </w:p>
        </w:tc>
      </w:tr>
      <w:tr w:rsidR="00415A84" w:rsidRPr="00321931" w14:paraId="16B2D563" w14:textId="77777777" w:rsidTr="007E3C0D">
        <w:trPr>
          <w:trHeight w:val="378"/>
        </w:trPr>
        <w:tc>
          <w:tcPr>
            <w:tcW w:w="1890" w:type="dxa"/>
          </w:tcPr>
          <w:p w14:paraId="3F6F8914" w14:textId="77777777" w:rsidR="00EC31EB" w:rsidRPr="00933C7D" w:rsidRDefault="00EC31EB" w:rsidP="003772B6">
            <w:pPr>
              <w:spacing w:line="276" w:lineRule="auto"/>
              <w:rPr>
                <w:rFonts w:ascii="Palatino Linotype" w:hAnsi="Palatino Linotype" w:cstheme="majorBidi"/>
                <w:b/>
                <w:bCs/>
                <w:sz w:val="18"/>
                <w:szCs w:val="18"/>
              </w:rPr>
            </w:pPr>
          </w:p>
        </w:tc>
        <w:tc>
          <w:tcPr>
            <w:tcW w:w="630" w:type="dxa"/>
          </w:tcPr>
          <w:p w14:paraId="34EAAB4B" w14:textId="77777777" w:rsidR="00EC31EB" w:rsidRPr="00321931" w:rsidRDefault="00EC31EB" w:rsidP="003772B6">
            <w:pPr>
              <w:spacing w:line="276" w:lineRule="auto"/>
              <w:jc w:val="both"/>
              <w:rPr>
                <w:rFonts w:ascii="Palatino Linotype" w:hAnsi="Palatino Linotype" w:cstheme="majorBidi"/>
              </w:rPr>
            </w:pPr>
          </w:p>
        </w:tc>
        <w:tc>
          <w:tcPr>
            <w:tcW w:w="540" w:type="dxa"/>
          </w:tcPr>
          <w:p w14:paraId="29BA2CB9" w14:textId="77777777" w:rsidR="00EC31EB" w:rsidRPr="00321931" w:rsidRDefault="00EC31EB" w:rsidP="003772B6">
            <w:pPr>
              <w:spacing w:line="276" w:lineRule="auto"/>
              <w:jc w:val="both"/>
              <w:rPr>
                <w:rFonts w:ascii="Palatino Linotype" w:hAnsi="Palatino Linotype" w:cstheme="majorBidi"/>
              </w:rPr>
            </w:pPr>
          </w:p>
        </w:tc>
        <w:tc>
          <w:tcPr>
            <w:tcW w:w="630" w:type="dxa"/>
          </w:tcPr>
          <w:p w14:paraId="66526BD4" w14:textId="77777777" w:rsidR="00EC31EB" w:rsidRPr="00321931" w:rsidRDefault="00EC31EB" w:rsidP="00B614D2">
            <w:pPr>
              <w:jc w:val="both"/>
              <w:rPr>
                <w:rFonts w:ascii="Palatino Linotype" w:hAnsi="Palatino Linotype" w:cstheme="majorBidi"/>
              </w:rPr>
            </w:pPr>
          </w:p>
        </w:tc>
        <w:tc>
          <w:tcPr>
            <w:tcW w:w="630" w:type="dxa"/>
          </w:tcPr>
          <w:p w14:paraId="02FF8DD2" w14:textId="77777777" w:rsidR="00EC31EB" w:rsidRPr="00321931" w:rsidRDefault="00EC31EB" w:rsidP="00B614D2">
            <w:pPr>
              <w:jc w:val="both"/>
              <w:rPr>
                <w:rFonts w:ascii="Palatino Linotype" w:hAnsi="Palatino Linotype" w:cstheme="majorBidi"/>
              </w:rPr>
            </w:pPr>
          </w:p>
        </w:tc>
        <w:tc>
          <w:tcPr>
            <w:tcW w:w="720" w:type="dxa"/>
          </w:tcPr>
          <w:p w14:paraId="20F050B0" w14:textId="77777777" w:rsidR="00EC31EB" w:rsidRPr="00321931" w:rsidRDefault="00EC31EB" w:rsidP="00B614D2">
            <w:pPr>
              <w:jc w:val="both"/>
              <w:rPr>
                <w:rFonts w:ascii="Palatino Linotype" w:hAnsi="Palatino Linotype" w:cstheme="majorBidi"/>
              </w:rPr>
            </w:pPr>
            <w:r w:rsidRPr="00321931">
              <w:rPr>
                <w:rFonts w:ascii="Palatino Linotype" w:hAnsi="Palatino Linotype" w:cstheme="majorBidi"/>
              </w:rPr>
              <w:t>(dd)</w:t>
            </w:r>
          </w:p>
        </w:tc>
        <w:tc>
          <w:tcPr>
            <w:tcW w:w="4050" w:type="dxa"/>
          </w:tcPr>
          <w:p w14:paraId="3E542789" w14:textId="77777777" w:rsidR="00EC31EB" w:rsidRPr="00321931" w:rsidRDefault="00426671" w:rsidP="00040A6D">
            <w:pPr>
              <w:spacing w:line="276" w:lineRule="auto"/>
              <w:jc w:val="both"/>
              <w:rPr>
                <w:rFonts w:ascii="Palatino Linotype" w:hAnsi="Palatino Linotype" w:cstheme="majorBidi"/>
              </w:rPr>
            </w:pPr>
            <w:r w:rsidRPr="00321931">
              <w:rPr>
                <w:rFonts w:ascii="Palatino Linotype" w:hAnsi="Palatino Linotype" w:cstheme="majorBidi"/>
              </w:rPr>
              <w:t xml:space="preserve">the manner in which participants’ proportionate shares of expected benefits are measured, and any projections used in </w:t>
            </w:r>
            <w:r w:rsidR="0085632B" w:rsidRPr="00321931">
              <w:rPr>
                <w:rFonts w:ascii="Palatino Linotype" w:hAnsi="Palatino Linotype" w:cstheme="majorBidi"/>
              </w:rPr>
              <w:t>such a</w:t>
            </w:r>
            <w:r w:rsidRPr="00321931">
              <w:rPr>
                <w:rFonts w:ascii="Palatino Linotype" w:hAnsi="Palatino Linotype" w:cstheme="majorBidi"/>
              </w:rPr>
              <w:t xml:space="preserve"> </w:t>
            </w:r>
            <w:proofErr w:type="gramStart"/>
            <w:r w:rsidRPr="00321931">
              <w:rPr>
                <w:rFonts w:ascii="Palatino Linotype" w:hAnsi="Palatino Linotype" w:cstheme="majorBidi"/>
              </w:rPr>
              <w:t>determination;</w:t>
            </w:r>
            <w:proofErr w:type="gramEnd"/>
          </w:p>
          <w:p w14:paraId="3D7D9B12" w14:textId="77777777" w:rsidR="00426671" w:rsidRPr="00321931" w:rsidRDefault="00426671" w:rsidP="00040A6D">
            <w:pPr>
              <w:spacing w:line="276" w:lineRule="auto"/>
              <w:jc w:val="both"/>
              <w:rPr>
                <w:rFonts w:ascii="Palatino Linotype" w:hAnsi="Palatino Linotype" w:cstheme="majorBidi"/>
              </w:rPr>
            </w:pPr>
          </w:p>
        </w:tc>
      </w:tr>
      <w:tr w:rsidR="00415A84" w:rsidRPr="00321931" w14:paraId="4FF02501" w14:textId="77777777" w:rsidTr="007E3C0D">
        <w:trPr>
          <w:trHeight w:val="378"/>
        </w:trPr>
        <w:tc>
          <w:tcPr>
            <w:tcW w:w="1890" w:type="dxa"/>
          </w:tcPr>
          <w:p w14:paraId="65B0F441" w14:textId="77777777" w:rsidR="00426671" w:rsidRPr="00933C7D" w:rsidRDefault="00426671" w:rsidP="003772B6">
            <w:pPr>
              <w:spacing w:line="276" w:lineRule="auto"/>
              <w:rPr>
                <w:rFonts w:ascii="Palatino Linotype" w:hAnsi="Palatino Linotype" w:cstheme="majorBidi"/>
                <w:b/>
                <w:bCs/>
                <w:sz w:val="18"/>
                <w:szCs w:val="18"/>
              </w:rPr>
            </w:pPr>
          </w:p>
        </w:tc>
        <w:tc>
          <w:tcPr>
            <w:tcW w:w="630" w:type="dxa"/>
          </w:tcPr>
          <w:p w14:paraId="509751C8" w14:textId="77777777" w:rsidR="00426671" w:rsidRPr="00321931" w:rsidRDefault="00426671" w:rsidP="003772B6">
            <w:pPr>
              <w:spacing w:line="276" w:lineRule="auto"/>
              <w:jc w:val="both"/>
              <w:rPr>
                <w:rFonts w:ascii="Palatino Linotype" w:hAnsi="Palatino Linotype" w:cstheme="majorBidi"/>
              </w:rPr>
            </w:pPr>
          </w:p>
        </w:tc>
        <w:tc>
          <w:tcPr>
            <w:tcW w:w="540" w:type="dxa"/>
          </w:tcPr>
          <w:p w14:paraId="58293C46" w14:textId="77777777" w:rsidR="00426671" w:rsidRPr="00321931" w:rsidRDefault="00426671" w:rsidP="003772B6">
            <w:pPr>
              <w:spacing w:line="276" w:lineRule="auto"/>
              <w:jc w:val="both"/>
              <w:rPr>
                <w:rFonts w:ascii="Palatino Linotype" w:hAnsi="Palatino Linotype" w:cstheme="majorBidi"/>
              </w:rPr>
            </w:pPr>
          </w:p>
        </w:tc>
        <w:tc>
          <w:tcPr>
            <w:tcW w:w="630" w:type="dxa"/>
          </w:tcPr>
          <w:p w14:paraId="40FA225F" w14:textId="77777777" w:rsidR="00426671" w:rsidRPr="00321931" w:rsidRDefault="00426671" w:rsidP="00B614D2">
            <w:pPr>
              <w:jc w:val="both"/>
              <w:rPr>
                <w:rFonts w:ascii="Palatino Linotype" w:hAnsi="Palatino Linotype" w:cstheme="majorBidi"/>
              </w:rPr>
            </w:pPr>
          </w:p>
        </w:tc>
        <w:tc>
          <w:tcPr>
            <w:tcW w:w="630" w:type="dxa"/>
          </w:tcPr>
          <w:p w14:paraId="5705614A" w14:textId="77777777" w:rsidR="00426671" w:rsidRPr="00321931" w:rsidRDefault="00426671" w:rsidP="00B614D2">
            <w:pPr>
              <w:jc w:val="both"/>
              <w:rPr>
                <w:rFonts w:ascii="Palatino Linotype" w:hAnsi="Palatino Linotype" w:cstheme="majorBidi"/>
              </w:rPr>
            </w:pPr>
          </w:p>
        </w:tc>
        <w:tc>
          <w:tcPr>
            <w:tcW w:w="720" w:type="dxa"/>
          </w:tcPr>
          <w:p w14:paraId="0472385E" w14:textId="77777777" w:rsidR="00426671" w:rsidRPr="00321931" w:rsidRDefault="00426671" w:rsidP="00B614D2">
            <w:pPr>
              <w:jc w:val="both"/>
              <w:rPr>
                <w:rFonts w:ascii="Palatino Linotype" w:hAnsi="Palatino Linotype" w:cstheme="majorBidi"/>
              </w:rPr>
            </w:pPr>
            <w:r w:rsidRPr="00321931">
              <w:rPr>
                <w:rFonts w:ascii="Palatino Linotype" w:hAnsi="Palatino Linotype" w:cstheme="majorBidi"/>
              </w:rPr>
              <w:t>(</w:t>
            </w:r>
            <w:proofErr w:type="spellStart"/>
            <w:r w:rsidRPr="00321931">
              <w:rPr>
                <w:rFonts w:ascii="Palatino Linotype" w:hAnsi="Palatino Linotype" w:cstheme="majorBidi"/>
              </w:rPr>
              <w:t>ee</w:t>
            </w:r>
            <w:proofErr w:type="spellEnd"/>
            <w:r w:rsidRPr="00321931">
              <w:rPr>
                <w:rFonts w:ascii="Palatino Linotype" w:hAnsi="Palatino Linotype" w:cstheme="majorBidi"/>
              </w:rPr>
              <w:t>)</w:t>
            </w:r>
          </w:p>
        </w:tc>
        <w:tc>
          <w:tcPr>
            <w:tcW w:w="4050" w:type="dxa"/>
          </w:tcPr>
          <w:p w14:paraId="2CE91184" w14:textId="77777777" w:rsidR="00426671" w:rsidRPr="00321931" w:rsidRDefault="00390552" w:rsidP="00040A6D">
            <w:pPr>
              <w:spacing w:line="276" w:lineRule="auto"/>
              <w:jc w:val="both"/>
              <w:rPr>
                <w:rFonts w:ascii="Palatino Linotype" w:hAnsi="Palatino Linotype" w:cstheme="majorBidi"/>
              </w:rPr>
            </w:pPr>
            <w:r w:rsidRPr="00321931">
              <w:rPr>
                <w:rFonts w:ascii="Palatino Linotype" w:hAnsi="Palatino Linotype" w:cstheme="majorBidi"/>
              </w:rPr>
              <w:t xml:space="preserve">value </w:t>
            </w:r>
            <w:r w:rsidR="00C579DB" w:rsidRPr="00321931">
              <w:rPr>
                <w:rFonts w:ascii="Palatino Linotype" w:hAnsi="Palatino Linotype" w:cstheme="majorBidi"/>
              </w:rPr>
              <w:t xml:space="preserve">of each participant’s contributions made during the cost sharing agreement’s term, and a detailed description of how the value of contributions is </w:t>
            </w:r>
            <w:proofErr w:type="gramStart"/>
            <w:r w:rsidR="00C579DB" w:rsidRPr="00321931">
              <w:rPr>
                <w:rFonts w:ascii="Palatino Linotype" w:hAnsi="Palatino Linotype" w:cstheme="majorBidi"/>
              </w:rPr>
              <w:t>determined;</w:t>
            </w:r>
            <w:proofErr w:type="gramEnd"/>
          </w:p>
          <w:p w14:paraId="0451C49B" w14:textId="77777777" w:rsidR="00C579DB" w:rsidRPr="00321931" w:rsidRDefault="00C579DB" w:rsidP="00040A6D">
            <w:pPr>
              <w:spacing w:line="276" w:lineRule="auto"/>
              <w:jc w:val="both"/>
              <w:rPr>
                <w:rFonts w:ascii="Palatino Linotype" w:hAnsi="Palatino Linotype" w:cstheme="majorBidi"/>
              </w:rPr>
            </w:pPr>
          </w:p>
        </w:tc>
      </w:tr>
      <w:tr w:rsidR="00415A84" w:rsidRPr="00321931" w14:paraId="5BBF6422" w14:textId="77777777" w:rsidTr="007E3C0D">
        <w:trPr>
          <w:trHeight w:val="378"/>
        </w:trPr>
        <w:tc>
          <w:tcPr>
            <w:tcW w:w="1890" w:type="dxa"/>
          </w:tcPr>
          <w:p w14:paraId="4AC88821" w14:textId="77777777" w:rsidR="00C579DB" w:rsidRPr="00933C7D" w:rsidRDefault="00C579DB" w:rsidP="003772B6">
            <w:pPr>
              <w:spacing w:line="276" w:lineRule="auto"/>
              <w:rPr>
                <w:rFonts w:ascii="Palatino Linotype" w:hAnsi="Palatino Linotype" w:cstheme="majorBidi"/>
                <w:b/>
                <w:bCs/>
                <w:sz w:val="18"/>
                <w:szCs w:val="18"/>
              </w:rPr>
            </w:pPr>
          </w:p>
        </w:tc>
        <w:tc>
          <w:tcPr>
            <w:tcW w:w="630" w:type="dxa"/>
          </w:tcPr>
          <w:p w14:paraId="0A1B41FE" w14:textId="77777777" w:rsidR="00C579DB" w:rsidRPr="00321931" w:rsidRDefault="00C579DB" w:rsidP="003772B6">
            <w:pPr>
              <w:spacing w:line="276" w:lineRule="auto"/>
              <w:jc w:val="both"/>
              <w:rPr>
                <w:rFonts w:ascii="Palatino Linotype" w:hAnsi="Palatino Linotype" w:cstheme="majorBidi"/>
              </w:rPr>
            </w:pPr>
          </w:p>
        </w:tc>
        <w:tc>
          <w:tcPr>
            <w:tcW w:w="540" w:type="dxa"/>
          </w:tcPr>
          <w:p w14:paraId="52BF653E" w14:textId="77777777" w:rsidR="00C579DB" w:rsidRPr="00321931" w:rsidRDefault="00C579DB" w:rsidP="003772B6">
            <w:pPr>
              <w:spacing w:line="276" w:lineRule="auto"/>
              <w:jc w:val="both"/>
              <w:rPr>
                <w:rFonts w:ascii="Palatino Linotype" w:hAnsi="Palatino Linotype" w:cstheme="majorBidi"/>
              </w:rPr>
            </w:pPr>
          </w:p>
        </w:tc>
        <w:tc>
          <w:tcPr>
            <w:tcW w:w="630" w:type="dxa"/>
          </w:tcPr>
          <w:p w14:paraId="139BEFAA" w14:textId="77777777" w:rsidR="00C579DB" w:rsidRPr="00321931" w:rsidRDefault="00C579DB" w:rsidP="00B614D2">
            <w:pPr>
              <w:jc w:val="both"/>
              <w:rPr>
                <w:rFonts w:ascii="Palatino Linotype" w:hAnsi="Palatino Linotype" w:cstheme="majorBidi"/>
              </w:rPr>
            </w:pPr>
          </w:p>
        </w:tc>
        <w:tc>
          <w:tcPr>
            <w:tcW w:w="630" w:type="dxa"/>
          </w:tcPr>
          <w:p w14:paraId="60461510" w14:textId="77777777" w:rsidR="00C579DB" w:rsidRPr="00321931" w:rsidRDefault="00C579DB" w:rsidP="00B614D2">
            <w:pPr>
              <w:jc w:val="both"/>
              <w:rPr>
                <w:rFonts w:ascii="Palatino Linotype" w:hAnsi="Palatino Linotype" w:cstheme="majorBidi"/>
              </w:rPr>
            </w:pPr>
          </w:p>
        </w:tc>
        <w:tc>
          <w:tcPr>
            <w:tcW w:w="720" w:type="dxa"/>
          </w:tcPr>
          <w:p w14:paraId="7BA2EB83" w14:textId="77777777" w:rsidR="00C579DB" w:rsidRPr="00321931" w:rsidRDefault="00C579DB" w:rsidP="00B614D2">
            <w:pPr>
              <w:jc w:val="both"/>
              <w:rPr>
                <w:rFonts w:ascii="Palatino Linotype" w:hAnsi="Palatino Linotype" w:cstheme="majorBidi"/>
              </w:rPr>
            </w:pPr>
            <w:r w:rsidRPr="00321931">
              <w:rPr>
                <w:rFonts w:ascii="Palatino Linotype" w:hAnsi="Palatino Linotype" w:cstheme="majorBidi"/>
              </w:rPr>
              <w:t>(ff)</w:t>
            </w:r>
          </w:p>
        </w:tc>
        <w:tc>
          <w:tcPr>
            <w:tcW w:w="4050" w:type="dxa"/>
          </w:tcPr>
          <w:p w14:paraId="34320597" w14:textId="77777777" w:rsidR="00C579DB" w:rsidRPr="00321931" w:rsidRDefault="00C579DB" w:rsidP="00040A6D">
            <w:pPr>
              <w:spacing w:line="276" w:lineRule="auto"/>
              <w:jc w:val="both"/>
              <w:rPr>
                <w:rFonts w:ascii="Palatino Linotype" w:hAnsi="Palatino Linotype" w:cstheme="majorBidi"/>
              </w:rPr>
            </w:pPr>
            <w:r w:rsidRPr="00321931">
              <w:rPr>
                <w:rFonts w:ascii="Palatino Linotype" w:hAnsi="Palatino Linotype" w:cstheme="majorBidi"/>
              </w:rPr>
              <w:t xml:space="preserve">the change or termination of the cost-sharing agreement, if any, including the reasons for the change or </w:t>
            </w:r>
            <w:proofErr w:type="gramStart"/>
            <w:r w:rsidRPr="00321931">
              <w:rPr>
                <w:rFonts w:ascii="Palatino Linotype" w:hAnsi="Palatino Linotype" w:cstheme="majorBidi"/>
              </w:rPr>
              <w:t>termination;</w:t>
            </w:r>
            <w:proofErr w:type="gramEnd"/>
          </w:p>
          <w:p w14:paraId="7E0D3536" w14:textId="77777777" w:rsidR="00C579DB" w:rsidRPr="00321931" w:rsidRDefault="00C579DB" w:rsidP="00040A6D">
            <w:pPr>
              <w:spacing w:line="276" w:lineRule="auto"/>
              <w:jc w:val="both"/>
              <w:rPr>
                <w:rFonts w:ascii="Palatino Linotype" w:hAnsi="Palatino Linotype" w:cstheme="majorBidi"/>
              </w:rPr>
            </w:pPr>
          </w:p>
        </w:tc>
      </w:tr>
      <w:tr w:rsidR="00415A84" w:rsidRPr="00321931" w14:paraId="1A5786E5" w14:textId="77777777" w:rsidTr="00AA4BF9">
        <w:trPr>
          <w:trHeight w:val="378"/>
        </w:trPr>
        <w:tc>
          <w:tcPr>
            <w:tcW w:w="1890" w:type="dxa"/>
          </w:tcPr>
          <w:p w14:paraId="5D03145C" w14:textId="6F3D2E84" w:rsidR="00496489" w:rsidRPr="00933C7D" w:rsidRDefault="00496489" w:rsidP="003772B6">
            <w:pPr>
              <w:spacing w:line="276" w:lineRule="auto"/>
              <w:rPr>
                <w:rFonts w:ascii="Palatino Linotype" w:hAnsi="Palatino Linotype" w:cstheme="majorBidi"/>
                <w:b/>
                <w:bCs/>
                <w:sz w:val="18"/>
                <w:szCs w:val="18"/>
                <w:highlight w:val="yellow"/>
              </w:rPr>
            </w:pPr>
            <w:r w:rsidRPr="003772B6">
              <w:rPr>
                <w:rFonts w:ascii="Palatino Linotype" w:hAnsi="Palatino Linotype" w:cstheme="majorBidi"/>
                <w:b/>
                <w:bCs/>
                <w:sz w:val="18"/>
                <w:szCs w:val="18"/>
                <w:highlight w:val="cyan"/>
              </w:rPr>
              <w:t>Financial Information</w:t>
            </w:r>
          </w:p>
        </w:tc>
        <w:tc>
          <w:tcPr>
            <w:tcW w:w="630" w:type="dxa"/>
          </w:tcPr>
          <w:p w14:paraId="5A31024F" w14:textId="77777777" w:rsidR="00496489" w:rsidRPr="00321931" w:rsidRDefault="00496489" w:rsidP="003772B6">
            <w:pPr>
              <w:spacing w:line="276" w:lineRule="auto"/>
              <w:jc w:val="both"/>
              <w:rPr>
                <w:rFonts w:ascii="Palatino Linotype" w:hAnsi="Palatino Linotype" w:cstheme="majorBidi"/>
                <w:highlight w:val="yellow"/>
              </w:rPr>
            </w:pPr>
          </w:p>
        </w:tc>
        <w:tc>
          <w:tcPr>
            <w:tcW w:w="540" w:type="dxa"/>
          </w:tcPr>
          <w:p w14:paraId="25327854" w14:textId="237320A7" w:rsidR="00496489" w:rsidRPr="003772B6" w:rsidRDefault="00496489" w:rsidP="003772B6">
            <w:pPr>
              <w:spacing w:line="276" w:lineRule="auto"/>
              <w:jc w:val="both"/>
              <w:rPr>
                <w:rFonts w:ascii="Palatino Linotype" w:hAnsi="Palatino Linotype" w:cstheme="majorBidi"/>
                <w:highlight w:val="cyan"/>
              </w:rPr>
            </w:pPr>
            <w:r w:rsidRPr="003772B6">
              <w:rPr>
                <w:rFonts w:ascii="Palatino Linotype" w:hAnsi="Palatino Linotype" w:cstheme="majorBidi"/>
                <w:highlight w:val="cyan"/>
              </w:rPr>
              <w:t>(c)</w:t>
            </w:r>
          </w:p>
        </w:tc>
        <w:tc>
          <w:tcPr>
            <w:tcW w:w="6030" w:type="dxa"/>
            <w:gridSpan w:val="4"/>
          </w:tcPr>
          <w:p w14:paraId="4023D7AC" w14:textId="77777777" w:rsidR="00496489" w:rsidRPr="00040A6D" w:rsidRDefault="00496489" w:rsidP="00040A6D">
            <w:pPr>
              <w:spacing w:line="276" w:lineRule="auto"/>
              <w:jc w:val="both"/>
              <w:rPr>
                <w:rFonts w:ascii="Palatino Linotype" w:hAnsi="Palatino Linotype" w:cstheme="majorBidi"/>
                <w:highlight w:val="cyan"/>
              </w:rPr>
            </w:pPr>
            <w:r w:rsidRPr="00040A6D">
              <w:rPr>
                <w:rFonts w:ascii="Palatino Linotype" w:hAnsi="Palatino Linotype" w:cstheme="majorBidi"/>
                <w:highlight w:val="cyan"/>
              </w:rPr>
              <w:t xml:space="preserve">Annual financial accounts of the </w:t>
            </w:r>
            <w:r w:rsidR="00695F9E" w:rsidRPr="00040A6D">
              <w:rPr>
                <w:rFonts w:ascii="Palatino Linotype" w:hAnsi="Palatino Linotype" w:cstheme="majorBidi"/>
                <w:highlight w:val="cyan"/>
              </w:rPr>
              <w:t>taxpayer</w:t>
            </w:r>
            <w:r w:rsidRPr="00040A6D">
              <w:rPr>
                <w:rFonts w:ascii="Palatino Linotype" w:hAnsi="Palatino Linotype" w:cstheme="majorBidi"/>
                <w:highlight w:val="cyan"/>
              </w:rPr>
              <w:t xml:space="preserve"> and financial data for comparables used in the analysis.</w:t>
            </w:r>
          </w:p>
          <w:p w14:paraId="11359B43" w14:textId="2FECC515" w:rsidR="00040A6D" w:rsidRPr="00040A6D" w:rsidRDefault="00040A6D" w:rsidP="00040A6D">
            <w:pPr>
              <w:spacing w:line="276" w:lineRule="auto"/>
              <w:jc w:val="both"/>
              <w:rPr>
                <w:rFonts w:ascii="Palatino Linotype" w:hAnsi="Palatino Linotype" w:cstheme="majorBidi"/>
                <w:highlight w:val="cyan"/>
              </w:rPr>
            </w:pPr>
          </w:p>
        </w:tc>
      </w:tr>
      <w:tr w:rsidR="003772B6" w:rsidRPr="00321931" w14:paraId="55D5C2FB" w14:textId="77777777" w:rsidTr="003772B6">
        <w:trPr>
          <w:trHeight w:val="378"/>
        </w:trPr>
        <w:tc>
          <w:tcPr>
            <w:tcW w:w="1890" w:type="dxa"/>
          </w:tcPr>
          <w:p w14:paraId="5AFD917E" w14:textId="77777777" w:rsidR="003772B6" w:rsidRPr="00933C7D" w:rsidRDefault="003772B6" w:rsidP="003772B6">
            <w:pPr>
              <w:spacing w:line="276" w:lineRule="auto"/>
              <w:rPr>
                <w:rFonts w:ascii="Palatino Linotype" w:hAnsi="Palatino Linotype" w:cstheme="majorBidi"/>
                <w:b/>
                <w:bCs/>
                <w:sz w:val="18"/>
                <w:szCs w:val="18"/>
                <w:highlight w:val="yellow"/>
              </w:rPr>
            </w:pPr>
          </w:p>
        </w:tc>
        <w:tc>
          <w:tcPr>
            <w:tcW w:w="630" w:type="dxa"/>
          </w:tcPr>
          <w:p w14:paraId="4CC36444" w14:textId="77777777" w:rsidR="003772B6" w:rsidRPr="00321931" w:rsidRDefault="003772B6" w:rsidP="003772B6">
            <w:pPr>
              <w:spacing w:line="276" w:lineRule="auto"/>
              <w:jc w:val="both"/>
              <w:rPr>
                <w:rFonts w:ascii="Palatino Linotype" w:hAnsi="Palatino Linotype" w:cstheme="majorBidi"/>
                <w:highlight w:val="yellow"/>
              </w:rPr>
            </w:pPr>
          </w:p>
        </w:tc>
        <w:tc>
          <w:tcPr>
            <w:tcW w:w="540" w:type="dxa"/>
          </w:tcPr>
          <w:p w14:paraId="7EEA6834" w14:textId="77777777" w:rsidR="003772B6" w:rsidRPr="003772B6" w:rsidRDefault="003772B6" w:rsidP="003772B6">
            <w:pPr>
              <w:spacing w:line="276" w:lineRule="auto"/>
              <w:jc w:val="both"/>
              <w:rPr>
                <w:rFonts w:ascii="Palatino Linotype" w:hAnsi="Palatino Linotype" w:cstheme="majorBidi"/>
                <w:highlight w:val="cyan"/>
              </w:rPr>
            </w:pPr>
          </w:p>
        </w:tc>
        <w:tc>
          <w:tcPr>
            <w:tcW w:w="630" w:type="dxa"/>
          </w:tcPr>
          <w:p w14:paraId="084457AA" w14:textId="770D7025" w:rsidR="003772B6" w:rsidRPr="003772B6" w:rsidRDefault="003772B6" w:rsidP="00105FDD">
            <w:pPr>
              <w:spacing w:after="120"/>
              <w:jc w:val="both"/>
              <w:rPr>
                <w:rFonts w:ascii="Palatino Linotype" w:hAnsi="Palatino Linotype" w:cstheme="majorBidi"/>
                <w:highlight w:val="cyan"/>
              </w:rPr>
            </w:pPr>
            <w:r>
              <w:rPr>
                <w:rFonts w:ascii="Palatino Linotype" w:hAnsi="Palatino Linotype" w:cstheme="majorBidi"/>
                <w:highlight w:val="cyan"/>
              </w:rPr>
              <w:t>(1)</w:t>
            </w:r>
          </w:p>
        </w:tc>
        <w:tc>
          <w:tcPr>
            <w:tcW w:w="5400" w:type="dxa"/>
            <w:gridSpan w:val="3"/>
          </w:tcPr>
          <w:p w14:paraId="6CF72562" w14:textId="77777777" w:rsidR="003772B6" w:rsidRDefault="003772B6" w:rsidP="00040A6D">
            <w:pPr>
              <w:spacing w:line="276" w:lineRule="auto"/>
              <w:jc w:val="both"/>
              <w:rPr>
                <w:rFonts w:ascii="Palatino Linotype" w:hAnsi="Palatino Linotype" w:cstheme="majorBidi"/>
                <w:highlight w:val="cyan"/>
              </w:rPr>
            </w:pPr>
            <w:r w:rsidRPr="003772B6">
              <w:rPr>
                <w:rFonts w:ascii="Palatino Linotype" w:hAnsi="Palatino Linotype" w:cstheme="majorBidi"/>
                <w:highlight w:val="cyan"/>
              </w:rPr>
              <w:t>Information and allocation schedules showing how the financial data used in applying the transfer pricing method may be tied to the annual financial statements.</w:t>
            </w:r>
          </w:p>
          <w:p w14:paraId="01AC9B7D" w14:textId="6DAAD3A2" w:rsidR="00040A6D" w:rsidRPr="003772B6" w:rsidRDefault="00040A6D" w:rsidP="00040A6D">
            <w:pPr>
              <w:spacing w:line="276" w:lineRule="auto"/>
              <w:jc w:val="both"/>
              <w:rPr>
                <w:rFonts w:ascii="Palatino Linotype" w:hAnsi="Palatino Linotype" w:cstheme="majorBidi"/>
                <w:highlight w:val="cyan"/>
              </w:rPr>
            </w:pPr>
          </w:p>
        </w:tc>
      </w:tr>
      <w:tr w:rsidR="003772B6" w:rsidRPr="00321931" w14:paraId="6FE23102" w14:textId="77777777" w:rsidTr="003772B6">
        <w:trPr>
          <w:trHeight w:val="378"/>
        </w:trPr>
        <w:tc>
          <w:tcPr>
            <w:tcW w:w="1890" w:type="dxa"/>
          </w:tcPr>
          <w:p w14:paraId="39F0D016" w14:textId="77777777" w:rsidR="003772B6" w:rsidRPr="00933C7D" w:rsidRDefault="003772B6" w:rsidP="003772B6">
            <w:pPr>
              <w:spacing w:line="276" w:lineRule="auto"/>
              <w:rPr>
                <w:rFonts w:ascii="Palatino Linotype" w:hAnsi="Palatino Linotype" w:cstheme="majorBidi"/>
                <w:b/>
                <w:bCs/>
                <w:sz w:val="18"/>
                <w:szCs w:val="18"/>
                <w:highlight w:val="yellow"/>
              </w:rPr>
            </w:pPr>
          </w:p>
        </w:tc>
        <w:tc>
          <w:tcPr>
            <w:tcW w:w="630" w:type="dxa"/>
          </w:tcPr>
          <w:p w14:paraId="666BB5CB" w14:textId="77777777" w:rsidR="003772B6" w:rsidRPr="00321931" w:rsidRDefault="003772B6" w:rsidP="003772B6">
            <w:pPr>
              <w:spacing w:line="276" w:lineRule="auto"/>
              <w:jc w:val="both"/>
              <w:rPr>
                <w:rFonts w:ascii="Palatino Linotype" w:hAnsi="Palatino Linotype" w:cstheme="majorBidi"/>
                <w:highlight w:val="yellow"/>
              </w:rPr>
            </w:pPr>
          </w:p>
        </w:tc>
        <w:tc>
          <w:tcPr>
            <w:tcW w:w="540" w:type="dxa"/>
          </w:tcPr>
          <w:p w14:paraId="4D2A0E27" w14:textId="77777777" w:rsidR="003772B6" w:rsidRPr="003772B6" w:rsidRDefault="003772B6" w:rsidP="003772B6">
            <w:pPr>
              <w:spacing w:line="276" w:lineRule="auto"/>
              <w:jc w:val="both"/>
              <w:rPr>
                <w:rFonts w:ascii="Palatino Linotype" w:hAnsi="Palatino Linotype" w:cstheme="majorBidi"/>
                <w:highlight w:val="cyan"/>
              </w:rPr>
            </w:pPr>
          </w:p>
        </w:tc>
        <w:tc>
          <w:tcPr>
            <w:tcW w:w="630" w:type="dxa"/>
          </w:tcPr>
          <w:p w14:paraId="616DCD1A" w14:textId="092051C0" w:rsidR="003772B6" w:rsidRPr="003772B6" w:rsidRDefault="003772B6" w:rsidP="00105FDD">
            <w:pPr>
              <w:spacing w:after="120"/>
              <w:jc w:val="both"/>
              <w:rPr>
                <w:rFonts w:ascii="Palatino Linotype" w:hAnsi="Palatino Linotype" w:cstheme="majorBidi"/>
                <w:highlight w:val="cyan"/>
              </w:rPr>
            </w:pPr>
            <w:r>
              <w:rPr>
                <w:rFonts w:ascii="Palatino Linotype" w:hAnsi="Palatino Linotype" w:cstheme="majorBidi"/>
                <w:highlight w:val="cyan"/>
              </w:rPr>
              <w:t>(2)</w:t>
            </w:r>
          </w:p>
        </w:tc>
        <w:tc>
          <w:tcPr>
            <w:tcW w:w="5400" w:type="dxa"/>
            <w:gridSpan w:val="3"/>
          </w:tcPr>
          <w:p w14:paraId="2FF5EC22" w14:textId="77777777" w:rsidR="003772B6" w:rsidRDefault="003772B6" w:rsidP="00040A6D">
            <w:pPr>
              <w:spacing w:line="276" w:lineRule="auto"/>
              <w:jc w:val="both"/>
              <w:rPr>
                <w:rFonts w:ascii="Palatino Linotype" w:hAnsi="Palatino Linotype" w:cstheme="majorBidi"/>
                <w:highlight w:val="cyan"/>
              </w:rPr>
            </w:pPr>
            <w:r w:rsidRPr="003772B6">
              <w:rPr>
                <w:rFonts w:ascii="Palatino Linotype" w:hAnsi="Palatino Linotype" w:cstheme="majorBidi"/>
                <w:highlight w:val="cyan"/>
              </w:rPr>
              <w:t xml:space="preserve">Annual audited financial accounts of taxpayer for the accounting year concerned. </w:t>
            </w:r>
          </w:p>
          <w:p w14:paraId="4C623D9B" w14:textId="4D85E8E2" w:rsidR="00040A6D" w:rsidRPr="003772B6" w:rsidRDefault="00040A6D" w:rsidP="00040A6D">
            <w:pPr>
              <w:spacing w:line="276" w:lineRule="auto"/>
              <w:jc w:val="both"/>
              <w:rPr>
                <w:rFonts w:ascii="Palatino Linotype" w:hAnsi="Palatino Linotype" w:cstheme="majorBidi"/>
                <w:highlight w:val="cyan"/>
              </w:rPr>
            </w:pPr>
          </w:p>
        </w:tc>
      </w:tr>
      <w:tr w:rsidR="003772B6" w:rsidRPr="00321931" w14:paraId="3E7539ED" w14:textId="77777777" w:rsidTr="003772B6">
        <w:trPr>
          <w:trHeight w:val="1260"/>
        </w:trPr>
        <w:tc>
          <w:tcPr>
            <w:tcW w:w="1890" w:type="dxa"/>
          </w:tcPr>
          <w:p w14:paraId="143647F0" w14:textId="77777777" w:rsidR="003772B6" w:rsidRPr="00933C7D" w:rsidRDefault="003772B6" w:rsidP="003772B6">
            <w:pPr>
              <w:spacing w:line="276" w:lineRule="auto"/>
              <w:rPr>
                <w:rFonts w:ascii="Palatino Linotype" w:hAnsi="Palatino Linotype" w:cstheme="majorBidi"/>
                <w:b/>
                <w:bCs/>
                <w:sz w:val="18"/>
                <w:szCs w:val="18"/>
                <w:highlight w:val="yellow"/>
              </w:rPr>
            </w:pPr>
          </w:p>
        </w:tc>
        <w:tc>
          <w:tcPr>
            <w:tcW w:w="630" w:type="dxa"/>
          </w:tcPr>
          <w:p w14:paraId="01727E0F" w14:textId="77777777" w:rsidR="003772B6" w:rsidRPr="00321931" w:rsidRDefault="003772B6" w:rsidP="003772B6">
            <w:pPr>
              <w:spacing w:line="276" w:lineRule="auto"/>
              <w:jc w:val="both"/>
              <w:rPr>
                <w:rFonts w:ascii="Palatino Linotype" w:hAnsi="Palatino Linotype" w:cstheme="majorBidi"/>
                <w:highlight w:val="yellow"/>
              </w:rPr>
            </w:pPr>
          </w:p>
        </w:tc>
        <w:tc>
          <w:tcPr>
            <w:tcW w:w="540" w:type="dxa"/>
          </w:tcPr>
          <w:p w14:paraId="205ABDF3" w14:textId="77777777" w:rsidR="003772B6" w:rsidRPr="003772B6" w:rsidRDefault="003772B6" w:rsidP="003772B6">
            <w:pPr>
              <w:spacing w:line="276" w:lineRule="auto"/>
              <w:jc w:val="both"/>
              <w:rPr>
                <w:rFonts w:ascii="Palatino Linotype" w:hAnsi="Palatino Linotype" w:cstheme="majorBidi"/>
                <w:highlight w:val="cyan"/>
              </w:rPr>
            </w:pPr>
          </w:p>
        </w:tc>
        <w:tc>
          <w:tcPr>
            <w:tcW w:w="630" w:type="dxa"/>
          </w:tcPr>
          <w:p w14:paraId="5435C51B" w14:textId="18382971" w:rsidR="003772B6" w:rsidRPr="003772B6" w:rsidRDefault="003772B6" w:rsidP="00105FDD">
            <w:pPr>
              <w:spacing w:after="120"/>
              <w:jc w:val="both"/>
              <w:rPr>
                <w:rFonts w:ascii="Palatino Linotype" w:hAnsi="Palatino Linotype" w:cstheme="majorBidi"/>
                <w:highlight w:val="cyan"/>
              </w:rPr>
            </w:pPr>
            <w:r>
              <w:rPr>
                <w:rFonts w:ascii="Palatino Linotype" w:hAnsi="Palatino Linotype" w:cstheme="majorBidi"/>
                <w:highlight w:val="cyan"/>
              </w:rPr>
              <w:t>(3)</w:t>
            </w:r>
          </w:p>
        </w:tc>
        <w:tc>
          <w:tcPr>
            <w:tcW w:w="5400" w:type="dxa"/>
            <w:gridSpan w:val="3"/>
          </w:tcPr>
          <w:p w14:paraId="637E9A80" w14:textId="77777777" w:rsidR="003772B6" w:rsidRDefault="003772B6" w:rsidP="00040A6D">
            <w:pPr>
              <w:spacing w:line="276" w:lineRule="auto"/>
              <w:jc w:val="both"/>
              <w:rPr>
                <w:rFonts w:ascii="Palatino Linotype" w:hAnsi="Palatino Linotype" w:cstheme="majorBidi"/>
                <w:highlight w:val="cyan"/>
              </w:rPr>
            </w:pPr>
            <w:r w:rsidRPr="003772B6">
              <w:rPr>
                <w:rFonts w:ascii="Palatino Linotype" w:hAnsi="Palatino Linotype" w:cstheme="majorBidi"/>
                <w:highlight w:val="cyan"/>
              </w:rPr>
              <w:t xml:space="preserve">Summary schedules of relevant financial data for </w:t>
            </w:r>
            <w:proofErr w:type="spellStart"/>
            <w:r w:rsidRPr="003772B6">
              <w:rPr>
                <w:rFonts w:ascii="Palatino Linotype" w:hAnsi="Palatino Linotype" w:cstheme="majorBidi"/>
                <w:highlight w:val="cyan"/>
              </w:rPr>
              <w:t>comparables</w:t>
            </w:r>
            <w:proofErr w:type="spellEnd"/>
            <w:r w:rsidRPr="003772B6">
              <w:rPr>
                <w:rFonts w:ascii="Palatino Linotype" w:hAnsi="Palatino Linotype" w:cstheme="majorBidi"/>
                <w:highlight w:val="cyan"/>
              </w:rPr>
              <w:t xml:space="preserve"> used in the analysis and the sources from which the data was obtained.</w:t>
            </w:r>
          </w:p>
          <w:p w14:paraId="2DD77A22" w14:textId="6045EC5A" w:rsidR="00040A6D" w:rsidRPr="003772B6" w:rsidRDefault="00040A6D" w:rsidP="00040A6D">
            <w:pPr>
              <w:spacing w:line="276" w:lineRule="auto"/>
              <w:jc w:val="both"/>
              <w:rPr>
                <w:rFonts w:ascii="Palatino Linotype" w:hAnsi="Palatino Linotype" w:cstheme="majorBidi"/>
                <w:highlight w:val="cyan"/>
              </w:rPr>
            </w:pPr>
          </w:p>
        </w:tc>
      </w:tr>
      <w:tr w:rsidR="008F4BA6" w:rsidRPr="00321931" w14:paraId="3E33BF0B" w14:textId="77777777" w:rsidTr="005604A3">
        <w:trPr>
          <w:trHeight w:val="495"/>
        </w:trPr>
        <w:tc>
          <w:tcPr>
            <w:tcW w:w="1890" w:type="dxa"/>
          </w:tcPr>
          <w:p w14:paraId="38808E83" w14:textId="34549371" w:rsidR="008F4BA6" w:rsidRPr="00933C7D" w:rsidRDefault="008F4BA6" w:rsidP="003772B6">
            <w:pPr>
              <w:spacing w:line="276" w:lineRule="auto"/>
              <w:rPr>
                <w:rFonts w:ascii="Palatino Linotype" w:hAnsi="Palatino Linotype" w:cstheme="majorBidi"/>
                <w:b/>
                <w:bCs/>
                <w:sz w:val="18"/>
                <w:szCs w:val="18"/>
              </w:rPr>
            </w:pPr>
            <w:r w:rsidRPr="00933C7D">
              <w:rPr>
                <w:rFonts w:ascii="Palatino Linotype" w:hAnsi="Palatino Linotype" w:cstheme="majorBidi"/>
                <w:b/>
                <w:bCs/>
                <w:sz w:val="18"/>
                <w:szCs w:val="18"/>
              </w:rPr>
              <w:t>General Provisions</w:t>
            </w:r>
          </w:p>
        </w:tc>
        <w:tc>
          <w:tcPr>
            <w:tcW w:w="630" w:type="dxa"/>
          </w:tcPr>
          <w:p w14:paraId="36E80C42" w14:textId="4DC21C26" w:rsidR="008F4BA6" w:rsidRPr="00321931" w:rsidRDefault="008F4BA6" w:rsidP="003772B6">
            <w:pPr>
              <w:spacing w:line="276" w:lineRule="auto"/>
              <w:jc w:val="both"/>
              <w:rPr>
                <w:rFonts w:ascii="Palatino Linotype" w:hAnsi="Palatino Linotype" w:cstheme="majorBidi"/>
              </w:rPr>
            </w:pPr>
            <w:r w:rsidRPr="00321931">
              <w:rPr>
                <w:rFonts w:ascii="Palatino Linotype" w:hAnsi="Palatino Linotype" w:cstheme="majorBidi"/>
              </w:rPr>
              <w:t>3.</w:t>
            </w:r>
          </w:p>
        </w:tc>
        <w:tc>
          <w:tcPr>
            <w:tcW w:w="6570" w:type="dxa"/>
            <w:gridSpan w:val="5"/>
          </w:tcPr>
          <w:p w14:paraId="34FFE7C9" w14:textId="1F4AC4C4" w:rsidR="008F4BA6" w:rsidRPr="00321931" w:rsidRDefault="008F4BA6" w:rsidP="003772B6">
            <w:pPr>
              <w:spacing w:line="276" w:lineRule="auto"/>
              <w:jc w:val="both"/>
              <w:rPr>
                <w:rFonts w:ascii="Palatino Linotype" w:hAnsi="Palatino Linotype" w:cstheme="majorBidi"/>
              </w:rPr>
            </w:pPr>
            <w:proofErr w:type="gramStart"/>
            <w:r w:rsidRPr="00321931">
              <w:rPr>
                <w:rFonts w:ascii="Palatino Linotype" w:hAnsi="Palatino Linotype" w:cstheme="majorBidi"/>
              </w:rPr>
              <w:t>For the purpose of</w:t>
            </w:r>
            <w:proofErr w:type="gramEnd"/>
            <w:r w:rsidRPr="00321931">
              <w:rPr>
                <w:rFonts w:ascii="Palatino Linotype" w:hAnsi="Palatino Linotype" w:cstheme="majorBidi"/>
              </w:rPr>
              <w:t xml:space="preserve"> this Schedule, the business of a group of a </w:t>
            </w:r>
            <w:r w:rsidR="00695F9E" w:rsidRPr="00321931">
              <w:rPr>
                <w:rFonts w:ascii="Palatino Linotype" w:hAnsi="Palatino Linotype" w:cstheme="majorBidi"/>
              </w:rPr>
              <w:t>taxpayer</w:t>
            </w:r>
            <w:r w:rsidRPr="00321931">
              <w:rPr>
                <w:rFonts w:ascii="Palatino Linotype" w:hAnsi="Palatino Linotype" w:cstheme="majorBidi"/>
              </w:rPr>
              <w:t xml:space="preserve"> is “relevant” to the business of the group in Maldives, or of the </w:t>
            </w:r>
            <w:r w:rsidR="00695F9E" w:rsidRPr="00321931">
              <w:rPr>
                <w:rFonts w:ascii="Palatino Linotype" w:hAnsi="Palatino Linotype" w:cstheme="majorBidi"/>
              </w:rPr>
              <w:t>taxpayer</w:t>
            </w:r>
            <w:r w:rsidRPr="00321931">
              <w:rPr>
                <w:rFonts w:ascii="Palatino Linotype" w:hAnsi="Palatino Linotype" w:cstheme="majorBidi"/>
              </w:rPr>
              <w:t>, if the latter business is identical or similar in nature to, or is part of, or is otherwise connected to, the former business.</w:t>
            </w:r>
          </w:p>
          <w:p w14:paraId="586BE4C2" w14:textId="77777777" w:rsidR="008F4BA6" w:rsidRPr="00321931" w:rsidRDefault="008F4BA6" w:rsidP="003772B6">
            <w:pPr>
              <w:spacing w:line="276" w:lineRule="auto"/>
              <w:jc w:val="both"/>
              <w:rPr>
                <w:rFonts w:ascii="Palatino Linotype" w:hAnsi="Palatino Linotype" w:cstheme="majorBidi"/>
              </w:rPr>
            </w:pPr>
          </w:p>
        </w:tc>
      </w:tr>
    </w:tbl>
    <w:p w14:paraId="20345155" w14:textId="77777777" w:rsidR="004C3092" w:rsidRPr="00040A6D" w:rsidRDefault="004C3092" w:rsidP="00763D08">
      <w:pPr>
        <w:spacing w:after="120"/>
        <w:rPr>
          <w:rFonts w:ascii="Palatino Linotype" w:eastAsiaTheme="minorEastAsia" w:hAnsi="Palatino Linotype" w:cstheme="majorBidi"/>
          <w:lang w:val="en-US"/>
        </w:rPr>
      </w:pPr>
    </w:p>
    <w:sectPr w:rsidR="004C3092" w:rsidRPr="00040A6D" w:rsidSect="004014CE">
      <w:headerReference w:type="default" r:id="rId9"/>
      <w:foot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178D" w14:textId="77777777" w:rsidR="00D66BA8" w:rsidRDefault="00D66BA8" w:rsidP="00BF0F5F">
      <w:pPr>
        <w:spacing w:after="0" w:line="240" w:lineRule="auto"/>
      </w:pPr>
      <w:r>
        <w:separator/>
      </w:r>
    </w:p>
    <w:p w14:paraId="3EBA3565" w14:textId="77777777" w:rsidR="00D66BA8" w:rsidRDefault="00D66BA8"/>
  </w:endnote>
  <w:endnote w:type="continuationSeparator" w:id="0">
    <w:p w14:paraId="5DAF971B" w14:textId="77777777" w:rsidR="00D66BA8" w:rsidRDefault="00D66BA8" w:rsidP="00BF0F5F">
      <w:pPr>
        <w:spacing w:after="0" w:line="240" w:lineRule="auto"/>
      </w:pPr>
      <w:r>
        <w:continuationSeparator/>
      </w:r>
    </w:p>
    <w:p w14:paraId="3444D182" w14:textId="77777777" w:rsidR="00D66BA8" w:rsidRDefault="00D66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0"/>
        <w:szCs w:val="20"/>
      </w:rPr>
      <w:id w:val="-1728066558"/>
      <w:docPartObj>
        <w:docPartGallery w:val="Page Numbers (Bottom of Page)"/>
        <w:docPartUnique/>
      </w:docPartObj>
    </w:sdtPr>
    <w:sdtEndPr/>
    <w:sdtContent>
      <w:p w14:paraId="6C61F319" w14:textId="77777777" w:rsidR="00AA4BF9" w:rsidRPr="00B653E4" w:rsidRDefault="00AA4BF9" w:rsidP="000C7166">
        <w:pPr>
          <w:pStyle w:val="Footer"/>
          <w:pBdr>
            <w:top w:val="single" w:sz="4" w:space="1" w:color="auto"/>
          </w:pBdr>
          <w:tabs>
            <w:tab w:val="clear" w:pos="9360"/>
            <w:tab w:val="right" w:pos="9000"/>
          </w:tabs>
          <w:rPr>
            <w:rFonts w:ascii="Palatino Linotype" w:hAnsi="Palatino Linotype"/>
            <w:sz w:val="20"/>
            <w:szCs w:val="20"/>
          </w:rPr>
        </w:pPr>
        <w:r>
          <w:rPr>
            <w:rFonts w:ascii="Palatino Linotype" w:hAnsi="Palatino Linotype"/>
            <w:sz w:val="20"/>
            <w:szCs w:val="20"/>
          </w:rPr>
          <w:t xml:space="preserve">Transfer Pricing Regulation                                                                                                                  </w:t>
        </w:r>
        <w:sdt>
          <w:sdtPr>
            <w:rPr>
              <w:rFonts w:ascii="Palatino Linotype" w:hAnsi="Palatino Linotype"/>
              <w:sz w:val="20"/>
              <w:szCs w:val="20"/>
            </w:rPr>
            <w:id w:val="-815792085"/>
            <w:docPartObj>
              <w:docPartGallery w:val="Page Numbers (Top of Page)"/>
              <w:docPartUnique/>
            </w:docPartObj>
          </w:sdtPr>
          <w:sdtEndPr/>
          <w:sdtContent>
            <w:r w:rsidRPr="00B653E4">
              <w:rPr>
                <w:rFonts w:ascii="Palatino Linotype" w:hAnsi="Palatino Linotype"/>
                <w:sz w:val="20"/>
                <w:szCs w:val="20"/>
              </w:rPr>
              <w:t xml:space="preserve"> </w:t>
            </w:r>
            <w:r w:rsidRPr="00B653E4">
              <w:rPr>
                <w:rFonts w:ascii="Palatino Linotype" w:hAnsi="Palatino Linotype"/>
                <w:sz w:val="20"/>
                <w:szCs w:val="20"/>
              </w:rPr>
              <w:fldChar w:fldCharType="begin"/>
            </w:r>
            <w:r w:rsidRPr="00B653E4">
              <w:rPr>
                <w:rFonts w:ascii="Palatino Linotype" w:hAnsi="Palatino Linotype"/>
                <w:sz w:val="20"/>
                <w:szCs w:val="20"/>
              </w:rPr>
              <w:instrText xml:space="preserve"> PAGE </w:instrText>
            </w:r>
            <w:r w:rsidRPr="00B653E4">
              <w:rPr>
                <w:rFonts w:ascii="Palatino Linotype" w:hAnsi="Palatino Linotype"/>
                <w:sz w:val="20"/>
                <w:szCs w:val="20"/>
              </w:rPr>
              <w:fldChar w:fldCharType="separate"/>
            </w:r>
            <w:r>
              <w:rPr>
                <w:rFonts w:ascii="Palatino Linotype" w:hAnsi="Palatino Linotype"/>
                <w:noProof/>
                <w:sz w:val="20"/>
                <w:szCs w:val="20"/>
              </w:rPr>
              <w:t>3</w:t>
            </w:r>
            <w:r w:rsidRPr="00B653E4">
              <w:rPr>
                <w:rFonts w:ascii="Palatino Linotype" w:hAnsi="Palatino Linotype"/>
                <w:sz w:val="20"/>
                <w:szCs w:val="20"/>
              </w:rPr>
              <w:fldChar w:fldCharType="end"/>
            </w:r>
            <w:r w:rsidRPr="00B653E4">
              <w:rPr>
                <w:rFonts w:ascii="Palatino Linotype" w:hAnsi="Palatino Linotype"/>
                <w:sz w:val="20"/>
                <w:szCs w:val="20"/>
              </w:rPr>
              <w:t xml:space="preserve"> of </w:t>
            </w:r>
            <w:r w:rsidRPr="00B653E4">
              <w:rPr>
                <w:rFonts w:ascii="Palatino Linotype" w:hAnsi="Palatino Linotype"/>
                <w:sz w:val="20"/>
                <w:szCs w:val="20"/>
              </w:rPr>
              <w:fldChar w:fldCharType="begin"/>
            </w:r>
            <w:r w:rsidRPr="00B653E4">
              <w:rPr>
                <w:rFonts w:ascii="Palatino Linotype" w:hAnsi="Palatino Linotype"/>
                <w:sz w:val="20"/>
                <w:szCs w:val="20"/>
              </w:rPr>
              <w:instrText xml:space="preserve"> NUMPAGES  </w:instrText>
            </w:r>
            <w:r w:rsidRPr="00B653E4">
              <w:rPr>
                <w:rFonts w:ascii="Palatino Linotype" w:hAnsi="Palatino Linotype"/>
                <w:sz w:val="20"/>
                <w:szCs w:val="20"/>
              </w:rPr>
              <w:fldChar w:fldCharType="separate"/>
            </w:r>
            <w:r>
              <w:rPr>
                <w:rFonts w:ascii="Palatino Linotype" w:hAnsi="Palatino Linotype"/>
                <w:noProof/>
                <w:sz w:val="20"/>
                <w:szCs w:val="20"/>
              </w:rPr>
              <w:t>16</w:t>
            </w:r>
            <w:r w:rsidRPr="00B653E4">
              <w:rPr>
                <w:rFonts w:ascii="Palatino Linotype" w:hAnsi="Palatino Linotype"/>
                <w:sz w:val="20"/>
                <w:szCs w:val="20"/>
              </w:rPr>
              <w:fldChar w:fldCharType="end"/>
            </w:r>
          </w:sdtContent>
        </w:sdt>
      </w:p>
    </w:sdtContent>
  </w:sdt>
  <w:p w14:paraId="04B7E552" w14:textId="77777777" w:rsidR="00AA4BF9" w:rsidRDefault="00AA4B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AED92" w14:textId="77777777" w:rsidR="00D66BA8" w:rsidRDefault="00D66BA8" w:rsidP="00BF0F5F">
      <w:pPr>
        <w:spacing w:after="0" w:line="240" w:lineRule="auto"/>
      </w:pPr>
      <w:r>
        <w:separator/>
      </w:r>
    </w:p>
    <w:p w14:paraId="0558E950" w14:textId="77777777" w:rsidR="00D66BA8" w:rsidRDefault="00D66BA8"/>
  </w:footnote>
  <w:footnote w:type="continuationSeparator" w:id="0">
    <w:p w14:paraId="49895243" w14:textId="77777777" w:rsidR="00D66BA8" w:rsidRDefault="00D66BA8" w:rsidP="00BF0F5F">
      <w:pPr>
        <w:spacing w:after="0" w:line="240" w:lineRule="auto"/>
      </w:pPr>
      <w:r>
        <w:continuationSeparator/>
      </w:r>
    </w:p>
    <w:p w14:paraId="3425C0FD" w14:textId="77777777" w:rsidR="00D66BA8" w:rsidRDefault="00D66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25489"/>
      <w:docPartObj>
        <w:docPartGallery w:val="Watermarks"/>
        <w:docPartUnique/>
      </w:docPartObj>
    </w:sdtPr>
    <w:sdtContent>
      <w:p w14:paraId="381BD48B" w14:textId="522B3534" w:rsidR="00387FA5" w:rsidRDefault="00387FA5" w:rsidP="00763D08">
        <w:pPr>
          <w:pStyle w:val="Header"/>
        </w:pPr>
        <w:r>
          <w:rPr>
            <w:noProof/>
          </w:rPr>
          <w:pict w14:anchorId="2FF6E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64314" o:spid="_x0000_s1025" type="#_x0000_t136" style="position:absolute;margin-left:0;margin-top:0;width:445.45pt;height:190.9pt;rotation:315;z-index:-251657216;mso-position-horizontal:center;mso-position-horizontal-relative:margin;mso-position-vertical:center;mso-position-vertical-relative:margin" o:allowincell="f" fillcolor="red" stroked="f">
              <v:fill opacity=".5"/>
              <v:textpath style="font-family:&quot;Palatino Linotype&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A29"/>
    <w:multiLevelType w:val="hybridMultilevel"/>
    <w:tmpl w:val="FEEE8EF0"/>
    <w:lvl w:ilvl="0" w:tplc="DB68B1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A3A6A"/>
    <w:multiLevelType w:val="hybridMultilevel"/>
    <w:tmpl w:val="E7229E8E"/>
    <w:lvl w:ilvl="0" w:tplc="8350196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9D14275"/>
    <w:multiLevelType w:val="hybridMultilevel"/>
    <w:tmpl w:val="6938FA90"/>
    <w:lvl w:ilvl="0" w:tplc="C7A6D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415DC"/>
    <w:multiLevelType w:val="hybridMultilevel"/>
    <w:tmpl w:val="79E26C0A"/>
    <w:lvl w:ilvl="0" w:tplc="1CCC12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A7128"/>
    <w:multiLevelType w:val="hybridMultilevel"/>
    <w:tmpl w:val="3028DD20"/>
    <w:lvl w:ilvl="0" w:tplc="DF0A33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AD73ED"/>
    <w:multiLevelType w:val="hybridMultilevel"/>
    <w:tmpl w:val="591E6116"/>
    <w:lvl w:ilvl="0" w:tplc="0C9C0B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40667A"/>
    <w:multiLevelType w:val="hybridMultilevel"/>
    <w:tmpl w:val="E7229E8E"/>
    <w:lvl w:ilvl="0" w:tplc="8350196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245218F"/>
    <w:multiLevelType w:val="hybridMultilevel"/>
    <w:tmpl w:val="639A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547D1"/>
    <w:multiLevelType w:val="hybridMultilevel"/>
    <w:tmpl w:val="E7229E8E"/>
    <w:lvl w:ilvl="0" w:tplc="8350196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6336704"/>
    <w:multiLevelType w:val="hybridMultilevel"/>
    <w:tmpl w:val="F9467BC0"/>
    <w:lvl w:ilvl="0" w:tplc="F2C03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081D87"/>
    <w:multiLevelType w:val="hybridMultilevel"/>
    <w:tmpl w:val="72E8B96A"/>
    <w:lvl w:ilvl="0" w:tplc="0E5E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4621B9"/>
    <w:multiLevelType w:val="hybridMultilevel"/>
    <w:tmpl w:val="657E0A4A"/>
    <w:lvl w:ilvl="0" w:tplc="7716F4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383E60"/>
    <w:multiLevelType w:val="hybridMultilevel"/>
    <w:tmpl w:val="6938FA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2361801"/>
    <w:multiLevelType w:val="hybridMultilevel"/>
    <w:tmpl w:val="AB9ABA9A"/>
    <w:lvl w:ilvl="0" w:tplc="FC70E1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A3C3B"/>
    <w:multiLevelType w:val="hybridMultilevel"/>
    <w:tmpl w:val="B598020A"/>
    <w:lvl w:ilvl="0" w:tplc="2AE60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8B1218"/>
    <w:multiLevelType w:val="hybridMultilevel"/>
    <w:tmpl w:val="E180AEE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AD029B6"/>
    <w:multiLevelType w:val="hybridMultilevel"/>
    <w:tmpl w:val="F83A7420"/>
    <w:lvl w:ilvl="0" w:tplc="190C3232">
      <w:start w:val="1"/>
      <w:numFmt w:val="decimal"/>
      <w:lvlText w:val="%1."/>
      <w:lvlJc w:val="left"/>
      <w:pPr>
        <w:ind w:left="630" w:hanging="360"/>
      </w:pPr>
      <w:rPr>
        <w:rFonts w:asciiTheme="majorBidi" w:hAnsiTheme="majorBidi" w:cstheme="majorBidi" w:hint="default"/>
        <w:b/>
        <w:bCs/>
        <w:i w:val="0"/>
        <w:i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C6066"/>
    <w:multiLevelType w:val="hybridMultilevel"/>
    <w:tmpl w:val="8F3EA70A"/>
    <w:lvl w:ilvl="0" w:tplc="1CCC12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91FC9"/>
    <w:multiLevelType w:val="hybridMultilevel"/>
    <w:tmpl w:val="E180AEE4"/>
    <w:lvl w:ilvl="0" w:tplc="3C40C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711D87"/>
    <w:multiLevelType w:val="hybridMultilevel"/>
    <w:tmpl w:val="D5CEE2AE"/>
    <w:lvl w:ilvl="0" w:tplc="759EC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63111"/>
    <w:multiLevelType w:val="hybridMultilevel"/>
    <w:tmpl w:val="18D4E7A8"/>
    <w:lvl w:ilvl="0" w:tplc="B3425C1C">
      <w:start w:val="1"/>
      <w:numFmt w:val="decimal"/>
      <w:lvlText w:val="(%1)"/>
      <w:lvlJc w:val="left"/>
      <w:pPr>
        <w:ind w:left="1080" w:hanging="360"/>
      </w:pPr>
      <w:rPr>
        <w:rFonts w:ascii="Palatino Linotype" w:eastAsiaTheme="minorEastAsia" w:hAnsi="Palatino Linotype"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742E07"/>
    <w:multiLevelType w:val="hybridMultilevel"/>
    <w:tmpl w:val="596A902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02088C"/>
    <w:multiLevelType w:val="hybridMultilevel"/>
    <w:tmpl w:val="3028DD20"/>
    <w:lvl w:ilvl="0" w:tplc="DF0A33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780FDD"/>
    <w:multiLevelType w:val="hybridMultilevel"/>
    <w:tmpl w:val="596A902A"/>
    <w:lvl w:ilvl="0" w:tplc="C7A6D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C621F4"/>
    <w:multiLevelType w:val="hybridMultilevel"/>
    <w:tmpl w:val="80303A94"/>
    <w:lvl w:ilvl="0" w:tplc="F5FEA51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D53CC"/>
    <w:multiLevelType w:val="hybridMultilevel"/>
    <w:tmpl w:val="E7229E8E"/>
    <w:lvl w:ilvl="0" w:tplc="8350196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646A76BB"/>
    <w:multiLevelType w:val="hybridMultilevel"/>
    <w:tmpl w:val="FEEE8E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434889"/>
    <w:multiLevelType w:val="hybridMultilevel"/>
    <w:tmpl w:val="AB9ABA9A"/>
    <w:lvl w:ilvl="0" w:tplc="FC70E1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C5A94"/>
    <w:multiLevelType w:val="hybridMultilevel"/>
    <w:tmpl w:val="631A33B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6FD22AFD"/>
    <w:multiLevelType w:val="hybridMultilevel"/>
    <w:tmpl w:val="C604072C"/>
    <w:lvl w:ilvl="0" w:tplc="AE00B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D3E2A"/>
    <w:multiLevelType w:val="hybridMultilevel"/>
    <w:tmpl w:val="ACAE39E4"/>
    <w:lvl w:ilvl="0" w:tplc="49F80D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716C2B"/>
    <w:multiLevelType w:val="hybridMultilevel"/>
    <w:tmpl w:val="631A33B4"/>
    <w:lvl w:ilvl="0" w:tplc="DF0A33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7F01B5"/>
    <w:multiLevelType w:val="hybridMultilevel"/>
    <w:tmpl w:val="71CAF336"/>
    <w:lvl w:ilvl="0" w:tplc="94226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545DA"/>
    <w:multiLevelType w:val="hybridMultilevel"/>
    <w:tmpl w:val="7944B2D6"/>
    <w:lvl w:ilvl="0" w:tplc="759EC0FE">
      <w:start w:val="1"/>
      <w:numFmt w:val="lowerLetter"/>
      <w:lvlText w:val="(%1)"/>
      <w:lvlJc w:val="left"/>
      <w:pPr>
        <w:ind w:left="720" w:hanging="360"/>
      </w:pPr>
      <w:rPr>
        <w:rFonts w:hint="default"/>
      </w:rPr>
    </w:lvl>
    <w:lvl w:ilvl="1" w:tplc="969EA2CC">
      <w:start w:val="1"/>
      <w:numFmt w:val="decimal"/>
      <w:lvlText w:val="(%2)"/>
      <w:lvlJc w:val="left"/>
      <w:pPr>
        <w:ind w:left="1440" w:hanging="360"/>
      </w:pPr>
      <w:rPr>
        <w:rFonts w:hint="default"/>
      </w:rPr>
    </w:lvl>
    <w:lvl w:ilvl="2" w:tplc="31AE437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626078">
    <w:abstractNumId w:val="16"/>
  </w:num>
  <w:num w:numId="2" w16cid:durableId="971788199">
    <w:abstractNumId w:val="19"/>
  </w:num>
  <w:num w:numId="3" w16cid:durableId="583926527">
    <w:abstractNumId w:val="33"/>
  </w:num>
  <w:num w:numId="4" w16cid:durableId="1762098103">
    <w:abstractNumId w:val="13"/>
  </w:num>
  <w:num w:numId="5" w16cid:durableId="1098061173">
    <w:abstractNumId w:val="27"/>
  </w:num>
  <w:num w:numId="6" w16cid:durableId="435180077">
    <w:abstractNumId w:val="32"/>
  </w:num>
  <w:num w:numId="7" w16cid:durableId="1486435049">
    <w:abstractNumId w:val="24"/>
  </w:num>
  <w:num w:numId="8" w16cid:durableId="548541980">
    <w:abstractNumId w:val="29"/>
  </w:num>
  <w:num w:numId="9" w16cid:durableId="1702903422">
    <w:abstractNumId w:val="6"/>
  </w:num>
  <w:num w:numId="10" w16cid:durableId="1310330681">
    <w:abstractNumId w:val="1"/>
  </w:num>
  <w:num w:numId="11" w16cid:durableId="51318945">
    <w:abstractNumId w:val="8"/>
  </w:num>
  <w:num w:numId="12" w16cid:durableId="1443380863">
    <w:abstractNumId w:val="25"/>
  </w:num>
  <w:num w:numId="13" w16cid:durableId="1902786769">
    <w:abstractNumId w:val="18"/>
  </w:num>
  <w:num w:numId="14" w16cid:durableId="103353945">
    <w:abstractNumId w:val="22"/>
  </w:num>
  <w:num w:numId="15" w16cid:durableId="591357880">
    <w:abstractNumId w:val="4"/>
  </w:num>
  <w:num w:numId="16" w16cid:durableId="1226447766">
    <w:abstractNumId w:val="31"/>
  </w:num>
  <w:num w:numId="17" w16cid:durableId="456486656">
    <w:abstractNumId w:val="23"/>
  </w:num>
  <w:num w:numId="18" w16cid:durableId="1008631449">
    <w:abstractNumId w:val="28"/>
  </w:num>
  <w:num w:numId="19" w16cid:durableId="631666919">
    <w:abstractNumId w:val="14"/>
  </w:num>
  <w:num w:numId="20" w16cid:durableId="1127357528">
    <w:abstractNumId w:val="3"/>
  </w:num>
  <w:num w:numId="21" w16cid:durableId="2108958852">
    <w:abstractNumId w:val="21"/>
  </w:num>
  <w:num w:numId="22" w16cid:durableId="955717647">
    <w:abstractNumId w:val="2"/>
  </w:num>
  <w:num w:numId="23" w16cid:durableId="2079091510">
    <w:abstractNumId w:val="11"/>
  </w:num>
  <w:num w:numId="24" w16cid:durableId="1262451937">
    <w:abstractNumId w:val="0"/>
  </w:num>
  <w:num w:numId="25" w16cid:durableId="1895432536">
    <w:abstractNumId w:val="5"/>
  </w:num>
  <w:num w:numId="26" w16cid:durableId="1902789290">
    <w:abstractNumId w:val="30"/>
  </w:num>
  <w:num w:numId="27" w16cid:durableId="1039478006">
    <w:abstractNumId w:val="10"/>
  </w:num>
  <w:num w:numId="28" w16cid:durableId="469398934">
    <w:abstractNumId w:val="20"/>
  </w:num>
  <w:num w:numId="29" w16cid:durableId="1285889197">
    <w:abstractNumId w:val="17"/>
  </w:num>
  <w:num w:numId="30" w16cid:durableId="234441180">
    <w:abstractNumId w:val="9"/>
  </w:num>
  <w:num w:numId="31" w16cid:durableId="1258638921">
    <w:abstractNumId w:val="15"/>
  </w:num>
  <w:num w:numId="32" w16cid:durableId="361251628">
    <w:abstractNumId w:val="12"/>
  </w:num>
  <w:num w:numId="33" w16cid:durableId="299651587">
    <w:abstractNumId w:val="7"/>
  </w:num>
  <w:num w:numId="34" w16cid:durableId="82759341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2sjQyNDA0MbK0NDVQ0lEKTi0uzszPAykwqgUA/7gjWSwAAAA="/>
  </w:docVars>
  <w:rsids>
    <w:rsidRoot w:val="00617A46"/>
    <w:rsid w:val="00000362"/>
    <w:rsid w:val="0000048C"/>
    <w:rsid w:val="00000829"/>
    <w:rsid w:val="00000BD8"/>
    <w:rsid w:val="000010E0"/>
    <w:rsid w:val="00001AE2"/>
    <w:rsid w:val="00001DE3"/>
    <w:rsid w:val="00001EBA"/>
    <w:rsid w:val="00003AB9"/>
    <w:rsid w:val="00003E6E"/>
    <w:rsid w:val="00004003"/>
    <w:rsid w:val="00004742"/>
    <w:rsid w:val="000056C2"/>
    <w:rsid w:val="000077AA"/>
    <w:rsid w:val="00007835"/>
    <w:rsid w:val="00010332"/>
    <w:rsid w:val="0001046A"/>
    <w:rsid w:val="00010526"/>
    <w:rsid w:val="00010DCB"/>
    <w:rsid w:val="00011073"/>
    <w:rsid w:val="000112C4"/>
    <w:rsid w:val="00011C0C"/>
    <w:rsid w:val="00012D1B"/>
    <w:rsid w:val="00013DDC"/>
    <w:rsid w:val="00014625"/>
    <w:rsid w:val="00014660"/>
    <w:rsid w:val="00014C2B"/>
    <w:rsid w:val="00015583"/>
    <w:rsid w:val="00020A71"/>
    <w:rsid w:val="00020E51"/>
    <w:rsid w:val="00020FDC"/>
    <w:rsid w:val="00021B58"/>
    <w:rsid w:val="00022ED3"/>
    <w:rsid w:val="00022F76"/>
    <w:rsid w:val="0002372E"/>
    <w:rsid w:val="000238D4"/>
    <w:rsid w:val="000240CC"/>
    <w:rsid w:val="000240E6"/>
    <w:rsid w:val="00025C99"/>
    <w:rsid w:val="000265F9"/>
    <w:rsid w:val="00026B55"/>
    <w:rsid w:val="00026C17"/>
    <w:rsid w:val="00027224"/>
    <w:rsid w:val="000301D5"/>
    <w:rsid w:val="00030483"/>
    <w:rsid w:val="00030941"/>
    <w:rsid w:val="00031159"/>
    <w:rsid w:val="00031374"/>
    <w:rsid w:val="000315C5"/>
    <w:rsid w:val="00031B68"/>
    <w:rsid w:val="00032488"/>
    <w:rsid w:val="00032BCA"/>
    <w:rsid w:val="00032FC2"/>
    <w:rsid w:val="00034D66"/>
    <w:rsid w:val="00034DC4"/>
    <w:rsid w:val="00035900"/>
    <w:rsid w:val="00035D1E"/>
    <w:rsid w:val="00035EB9"/>
    <w:rsid w:val="00037210"/>
    <w:rsid w:val="00037B7D"/>
    <w:rsid w:val="00040117"/>
    <w:rsid w:val="000405DD"/>
    <w:rsid w:val="00040898"/>
    <w:rsid w:val="00040A6D"/>
    <w:rsid w:val="00040EA2"/>
    <w:rsid w:val="000410AE"/>
    <w:rsid w:val="000413B1"/>
    <w:rsid w:val="00041F5D"/>
    <w:rsid w:val="00043092"/>
    <w:rsid w:val="00043750"/>
    <w:rsid w:val="00043D0C"/>
    <w:rsid w:val="00043E25"/>
    <w:rsid w:val="0004449C"/>
    <w:rsid w:val="000448E5"/>
    <w:rsid w:val="00044F6E"/>
    <w:rsid w:val="00045841"/>
    <w:rsid w:val="000459D3"/>
    <w:rsid w:val="00046164"/>
    <w:rsid w:val="00046AAE"/>
    <w:rsid w:val="0004740D"/>
    <w:rsid w:val="000474BC"/>
    <w:rsid w:val="00050806"/>
    <w:rsid w:val="00050FDE"/>
    <w:rsid w:val="00051AE8"/>
    <w:rsid w:val="00051B59"/>
    <w:rsid w:val="00052246"/>
    <w:rsid w:val="00052287"/>
    <w:rsid w:val="00052885"/>
    <w:rsid w:val="00052F9E"/>
    <w:rsid w:val="00053247"/>
    <w:rsid w:val="000532F9"/>
    <w:rsid w:val="00053388"/>
    <w:rsid w:val="00053468"/>
    <w:rsid w:val="00053AEA"/>
    <w:rsid w:val="00053DA4"/>
    <w:rsid w:val="000540A0"/>
    <w:rsid w:val="00054558"/>
    <w:rsid w:val="00054865"/>
    <w:rsid w:val="00054CF8"/>
    <w:rsid w:val="000552BA"/>
    <w:rsid w:val="00055340"/>
    <w:rsid w:val="00055744"/>
    <w:rsid w:val="00055CC4"/>
    <w:rsid w:val="00055DA1"/>
    <w:rsid w:val="00055EC9"/>
    <w:rsid w:val="000560C3"/>
    <w:rsid w:val="00057905"/>
    <w:rsid w:val="0006192B"/>
    <w:rsid w:val="00061C4B"/>
    <w:rsid w:val="0006216B"/>
    <w:rsid w:val="000628B7"/>
    <w:rsid w:val="00062D04"/>
    <w:rsid w:val="000630C6"/>
    <w:rsid w:val="00063508"/>
    <w:rsid w:val="0006362B"/>
    <w:rsid w:val="00064195"/>
    <w:rsid w:val="00064209"/>
    <w:rsid w:val="0006461B"/>
    <w:rsid w:val="00064DF5"/>
    <w:rsid w:val="0006511F"/>
    <w:rsid w:val="00066C4E"/>
    <w:rsid w:val="0006763F"/>
    <w:rsid w:val="000700AE"/>
    <w:rsid w:val="00070E54"/>
    <w:rsid w:val="000710AD"/>
    <w:rsid w:val="0007181B"/>
    <w:rsid w:val="00072C93"/>
    <w:rsid w:val="00072D6F"/>
    <w:rsid w:val="00072F5E"/>
    <w:rsid w:val="000733AA"/>
    <w:rsid w:val="0007374B"/>
    <w:rsid w:val="00073BAB"/>
    <w:rsid w:val="000751E3"/>
    <w:rsid w:val="00075501"/>
    <w:rsid w:val="00075DA5"/>
    <w:rsid w:val="00075FC4"/>
    <w:rsid w:val="0007622E"/>
    <w:rsid w:val="000770B1"/>
    <w:rsid w:val="00077931"/>
    <w:rsid w:val="000779C8"/>
    <w:rsid w:val="00077C7A"/>
    <w:rsid w:val="00077F9A"/>
    <w:rsid w:val="00080390"/>
    <w:rsid w:val="000803AB"/>
    <w:rsid w:val="00081747"/>
    <w:rsid w:val="000822DE"/>
    <w:rsid w:val="00082A6A"/>
    <w:rsid w:val="000840D9"/>
    <w:rsid w:val="000845F8"/>
    <w:rsid w:val="000847CB"/>
    <w:rsid w:val="00084A12"/>
    <w:rsid w:val="0008511D"/>
    <w:rsid w:val="000862D3"/>
    <w:rsid w:val="000863A8"/>
    <w:rsid w:val="0008674E"/>
    <w:rsid w:val="00086B26"/>
    <w:rsid w:val="000877D2"/>
    <w:rsid w:val="00087D3A"/>
    <w:rsid w:val="00087D4A"/>
    <w:rsid w:val="00090912"/>
    <w:rsid w:val="00091CE8"/>
    <w:rsid w:val="00092062"/>
    <w:rsid w:val="00092262"/>
    <w:rsid w:val="0009237F"/>
    <w:rsid w:val="00092FFA"/>
    <w:rsid w:val="00094231"/>
    <w:rsid w:val="0009467A"/>
    <w:rsid w:val="00095576"/>
    <w:rsid w:val="0009585F"/>
    <w:rsid w:val="0009587A"/>
    <w:rsid w:val="00095D36"/>
    <w:rsid w:val="000967CE"/>
    <w:rsid w:val="00096FDE"/>
    <w:rsid w:val="000971CA"/>
    <w:rsid w:val="000A0626"/>
    <w:rsid w:val="000A0BBB"/>
    <w:rsid w:val="000A2505"/>
    <w:rsid w:val="000A2DFB"/>
    <w:rsid w:val="000A3389"/>
    <w:rsid w:val="000A388C"/>
    <w:rsid w:val="000A4029"/>
    <w:rsid w:val="000A4501"/>
    <w:rsid w:val="000A5DE2"/>
    <w:rsid w:val="000A61D8"/>
    <w:rsid w:val="000B0481"/>
    <w:rsid w:val="000B0CCE"/>
    <w:rsid w:val="000B0D57"/>
    <w:rsid w:val="000B167D"/>
    <w:rsid w:val="000B1DCA"/>
    <w:rsid w:val="000B2803"/>
    <w:rsid w:val="000B48C2"/>
    <w:rsid w:val="000B490F"/>
    <w:rsid w:val="000B4B4F"/>
    <w:rsid w:val="000B4FB0"/>
    <w:rsid w:val="000B6010"/>
    <w:rsid w:val="000B64A3"/>
    <w:rsid w:val="000B66C3"/>
    <w:rsid w:val="000C0035"/>
    <w:rsid w:val="000C056F"/>
    <w:rsid w:val="000C0C0D"/>
    <w:rsid w:val="000C0C5A"/>
    <w:rsid w:val="000C0F4B"/>
    <w:rsid w:val="000C2240"/>
    <w:rsid w:val="000C2592"/>
    <w:rsid w:val="000C2FFC"/>
    <w:rsid w:val="000C346C"/>
    <w:rsid w:val="000C3A30"/>
    <w:rsid w:val="000C3DB6"/>
    <w:rsid w:val="000C47F0"/>
    <w:rsid w:val="000C4CBC"/>
    <w:rsid w:val="000C4DEA"/>
    <w:rsid w:val="000C4F2A"/>
    <w:rsid w:val="000C5FCE"/>
    <w:rsid w:val="000C6284"/>
    <w:rsid w:val="000C6633"/>
    <w:rsid w:val="000C6841"/>
    <w:rsid w:val="000C7166"/>
    <w:rsid w:val="000C744D"/>
    <w:rsid w:val="000C7AE8"/>
    <w:rsid w:val="000D0447"/>
    <w:rsid w:val="000D0EFF"/>
    <w:rsid w:val="000D267E"/>
    <w:rsid w:val="000D2DFC"/>
    <w:rsid w:val="000D2EA3"/>
    <w:rsid w:val="000D34EC"/>
    <w:rsid w:val="000D3D1D"/>
    <w:rsid w:val="000D3F6E"/>
    <w:rsid w:val="000D4C31"/>
    <w:rsid w:val="000D5203"/>
    <w:rsid w:val="000D53AE"/>
    <w:rsid w:val="000D67D7"/>
    <w:rsid w:val="000E0378"/>
    <w:rsid w:val="000E0822"/>
    <w:rsid w:val="000E0F8E"/>
    <w:rsid w:val="000E1702"/>
    <w:rsid w:val="000E1A2C"/>
    <w:rsid w:val="000E2180"/>
    <w:rsid w:val="000E3B62"/>
    <w:rsid w:val="000E40FE"/>
    <w:rsid w:val="000E44FD"/>
    <w:rsid w:val="000E4610"/>
    <w:rsid w:val="000E46E7"/>
    <w:rsid w:val="000E5842"/>
    <w:rsid w:val="000E5895"/>
    <w:rsid w:val="000E5CD7"/>
    <w:rsid w:val="000E5EF3"/>
    <w:rsid w:val="000E67A2"/>
    <w:rsid w:val="000E6BBA"/>
    <w:rsid w:val="000E7BBC"/>
    <w:rsid w:val="000F0577"/>
    <w:rsid w:val="000F0EED"/>
    <w:rsid w:val="000F0FFF"/>
    <w:rsid w:val="000F1103"/>
    <w:rsid w:val="000F11F0"/>
    <w:rsid w:val="000F1D3C"/>
    <w:rsid w:val="000F3415"/>
    <w:rsid w:val="000F3497"/>
    <w:rsid w:val="000F3947"/>
    <w:rsid w:val="000F3EB7"/>
    <w:rsid w:val="000F4C68"/>
    <w:rsid w:val="000F51CC"/>
    <w:rsid w:val="000F740F"/>
    <w:rsid w:val="000F75F9"/>
    <w:rsid w:val="0010028C"/>
    <w:rsid w:val="001002AC"/>
    <w:rsid w:val="00101538"/>
    <w:rsid w:val="00101F45"/>
    <w:rsid w:val="00102C7D"/>
    <w:rsid w:val="001032FA"/>
    <w:rsid w:val="00103DE2"/>
    <w:rsid w:val="00104278"/>
    <w:rsid w:val="00105FDD"/>
    <w:rsid w:val="00106C2B"/>
    <w:rsid w:val="00106CEB"/>
    <w:rsid w:val="001072BB"/>
    <w:rsid w:val="00110B52"/>
    <w:rsid w:val="001118B5"/>
    <w:rsid w:val="00112856"/>
    <w:rsid w:val="0011285C"/>
    <w:rsid w:val="00112B03"/>
    <w:rsid w:val="0011382E"/>
    <w:rsid w:val="00113B31"/>
    <w:rsid w:val="00113E92"/>
    <w:rsid w:val="00114A43"/>
    <w:rsid w:val="00114DAC"/>
    <w:rsid w:val="00115FAC"/>
    <w:rsid w:val="001163D6"/>
    <w:rsid w:val="00116B59"/>
    <w:rsid w:val="0011700F"/>
    <w:rsid w:val="001177CA"/>
    <w:rsid w:val="00117ADB"/>
    <w:rsid w:val="00120366"/>
    <w:rsid w:val="001204EE"/>
    <w:rsid w:val="00120A4B"/>
    <w:rsid w:val="00120D3A"/>
    <w:rsid w:val="001211D8"/>
    <w:rsid w:val="001211FD"/>
    <w:rsid w:val="00121B5D"/>
    <w:rsid w:val="00121DE6"/>
    <w:rsid w:val="00122486"/>
    <w:rsid w:val="00122595"/>
    <w:rsid w:val="00122E09"/>
    <w:rsid w:val="001231E3"/>
    <w:rsid w:val="00123AF4"/>
    <w:rsid w:val="00123CAC"/>
    <w:rsid w:val="0012474B"/>
    <w:rsid w:val="001249D2"/>
    <w:rsid w:val="00125292"/>
    <w:rsid w:val="00125534"/>
    <w:rsid w:val="00125642"/>
    <w:rsid w:val="00127986"/>
    <w:rsid w:val="001305E9"/>
    <w:rsid w:val="00130ABD"/>
    <w:rsid w:val="00131206"/>
    <w:rsid w:val="00131960"/>
    <w:rsid w:val="00131A3C"/>
    <w:rsid w:val="00131DFA"/>
    <w:rsid w:val="0013469A"/>
    <w:rsid w:val="00135699"/>
    <w:rsid w:val="001359F0"/>
    <w:rsid w:val="00137645"/>
    <w:rsid w:val="00137B1C"/>
    <w:rsid w:val="001401CB"/>
    <w:rsid w:val="0014098B"/>
    <w:rsid w:val="0014100F"/>
    <w:rsid w:val="0014194A"/>
    <w:rsid w:val="00141C22"/>
    <w:rsid w:val="00141C83"/>
    <w:rsid w:val="00141DF8"/>
    <w:rsid w:val="0014261B"/>
    <w:rsid w:val="0014290B"/>
    <w:rsid w:val="00142F02"/>
    <w:rsid w:val="00143531"/>
    <w:rsid w:val="00143FE9"/>
    <w:rsid w:val="00144A25"/>
    <w:rsid w:val="00144D91"/>
    <w:rsid w:val="0014560B"/>
    <w:rsid w:val="00145788"/>
    <w:rsid w:val="00145D0F"/>
    <w:rsid w:val="00147005"/>
    <w:rsid w:val="00147DA4"/>
    <w:rsid w:val="0015018F"/>
    <w:rsid w:val="0015056D"/>
    <w:rsid w:val="00152F49"/>
    <w:rsid w:val="001541DC"/>
    <w:rsid w:val="00155EA8"/>
    <w:rsid w:val="00156B53"/>
    <w:rsid w:val="00156C96"/>
    <w:rsid w:val="00157979"/>
    <w:rsid w:val="00157A86"/>
    <w:rsid w:val="0016102F"/>
    <w:rsid w:val="00161862"/>
    <w:rsid w:val="0016236A"/>
    <w:rsid w:val="001623C4"/>
    <w:rsid w:val="00163960"/>
    <w:rsid w:val="0016408C"/>
    <w:rsid w:val="001646A0"/>
    <w:rsid w:val="00164BBC"/>
    <w:rsid w:val="00164D96"/>
    <w:rsid w:val="00164E9F"/>
    <w:rsid w:val="00164EAF"/>
    <w:rsid w:val="00165243"/>
    <w:rsid w:val="00165334"/>
    <w:rsid w:val="0016538C"/>
    <w:rsid w:val="0016563E"/>
    <w:rsid w:val="00165F47"/>
    <w:rsid w:val="00166009"/>
    <w:rsid w:val="001662B6"/>
    <w:rsid w:val="001666FA"/>
    <w:rsid w:val="00166F58"/>
    <w:rsid w:val="0016713F"/>
    <w:rsid w:val="001674BE"/>
    <w:rsid w:val="00170273"/>
    <w:rsid w:val="001705C8"/>
    <w:rsid w:val="00171FB2"/>
    <w:rsid w:val="00172924"/>
    <w:rsid w:val="00172C70"/>
    <w:rsid w:val="00173311"/>
    <w:rsid w:val="001738E6"/>
    <w:rsid w:val="00173AC9"/>
    <w:rsid w:val="0017423A"/>
    <w:rsid w:val="00174E9D"/>
    <w:rsid w:val="00174F32"/>
    <w:rsid w:val="0017611B"/>
    <w:rsid w:val="00176397"/>
    <w:rsid w:val="00176552"/>
    <w:rsid w:val="00177132"/>
    <w:rsid w:val="00177CBD"/>
    <w:rsid w:val="0018021A"/>
    <w:rsid w:val="00180F0C"/>
    <w:rsid w:val="0018120D"/>
    <w:rsid w:val="00181746"/>
    <w:rsid w:val="001817AC"/>
    <w:rsid w:val="00181A55"/>
    <w:rsid w:val="00181C3B"/>
    <w:rsid w:val="00181FEA"/>
    <w:rsid w:val="001827FF"/>
    <w:rsid w:val="00182883"/>
    <w:rsid w:val="00182F88"/>
    <w:rsid w:val="00183433"/>
    <w:rsid w:val="0018354C"/>
    <w:rsid w:val="001835A8"/>
    <w:rsid w:val="001836CE"/>
    <w:rsid w:val="00184009"/>
    <w:rsid w:val="0018497B"/>
    <w:rsid w:val="00184F17"/>
    <w:rsid w:val="001859C1"/>
    <w:rsid w:val="00186420"/>
    <w:rsid w:val="00186C26"/>
    <w:rsid w:val="00186E64"/>
    <w:rsid w:val="001901DA"/>
    <w:rsid w:val="00191105"/>
    <w:rsid w:val="00192656"/>
    <w:rsid w:val="00192CEA"/>
    <w:rsid w:val="00192F00"/>
    <w:rsid w:val="001958F2"/>
    <w:rsid w:val="00195BA5"/>
    <w:rsid w:val="001964EC"/>
    <w:rsid w:val="001966A0"/>
    <w:rsid w:val="00196C4D"/>
    <w:rsid w:val="00196D93"/>
    <w:rsid w:val="001971D9"/>
    <w:rsid w:val="001A039F"/>
    <w:rsid w:val="001A095F"/>
    <w:rsid w:val="001A154E"/>
    <w:rsid w:val="001A1D3C"/>
    <w:rsid w:val="001A262F"/>
    <w:rsid w:val="001A37D6"/>
    <w:rsid w:val="001A3C38"/>
    <w:rsid w:val="001A3D4A"/>
    <w:rsid w:val="001A448C"/>
    <w:rsid w:val="001A4702"/>
    <w:rsid w:val="001A4BC2"/>
    <w:rsid w:val="001A574B"/>
    <w:rsid w:val="001A5A92"/>
    <w:rsid w:val="001A6F39"/>
    <w:rsid w:val="001A730F"/>
    <w:rsid w:val="001A749A"/>
    <w:rsid w:val="001A7729"/>
    <w:rsid w:val="001A7738"/>
    <w:rsid w:val="001A7B49"/>
    <w:rsid w:val="001B03D1"/>
    <w:rsid w:val="001B1021"/>
    <w:rsid w:val="001B12F4"/>
    <w:rsid w:val="001B1BEE"/>
    <w:rsid w:val="001B23A3"/>
    <w:rsid w:val="001B2AD5"/>
    <w:rsid w:val="001B2F1F"/>
    <w:rsid w:val="001B330A"/>
    <w:rsid w:val="001B400B"/>
    <w:rsid w:val="001B4935"/>
    <w:rsid w:val="001B4CA4"/>
    <w:rsid w:val="001B4D88"/>
    <w:rsid w:val="001B4E77"/>
    <w:rsid w:val="001B558D"/>
    <w:rsid w:val="001B71B5"/>
    <w:rsid w:val="001B7835"/>
    <w:rsid w:val="001B797E"/>
    <w:rsid w:val="001C0440"/>
    <w:rsid w:val="001C22D3"/>
    <w:rsid w:val="001C23E3"/>
    <w:rsid w:val="001C26D1"/>
    <w:rsid w:val="001C2767"/>
    <w:rsid w:val="001C2CBC"/>
    <w:rsid w:val="001C2CFE"/>
    <w:rsid w:val="001C314E"/>
    <w:rsid w:val="001C321C"/>
    <w:rsid w:val="001C37F6"/>
    <w:rsid w:val="001C3A27"/>
    <w:rsid w:val="001C3F47"/>
    <w:rsid w:val="001C40E7"/>
    <w:rsid w:val="001C423E"/>
    <w:rsid w:val="001C597C"/>
    <w:rsid w:val="001C63D4"/>
    <w:rsid w:val="001C67B9"/>
    <w:rsid w:val="001C6B4A"/>
    <w:rsid w:val="001C6B61"/>
    <w:rsid w:val="001C70BF"/>
    <w:rsid w:val="001C78F9"/>
    <w:rsid w:val="001C79FC"/>
    <w:rsid w:val="001C7D82"/>
    <w:rsid w:val="001D0373"/>
    <w:rsid w:val="001D06E1"/>
    <w:rsid w:val="001D08F8"/>
    <w:rsid w:val="001D095B"/>
    <w:rsid w:val="001D0CAE"/>
    <w:rsid w:val="001D13A1"/>
    <w:rsid w:val="001D15B0"/>
    <w:rsid w:val="001D1647"/>
    <w:rsid w:val="001D1845"/>
    <w:rsid w:val="001D2C00"/>
    <w:rsid w:val="001D2CA9"/>
    <w:rsid w:val="001D37D4"/>
    <w:rsid w:val="001D38A9"/>
    <w:rsid w:val="001D3F08"/>
    <w:rsid w:val="001D4105"/>
    <w:rsid w:val="001D4176"/>
    <w:rsid w:val="001D41BD"/>
    <w:rsid w:val="001D5008"/>
    <w:rsid w:val="001D50A9"/>
    <w:rsid w:val="001D5465"/>
    <w:rsid w:val="001D5633"/>
    <w:rsid w:val="001D579D"/>
    <w:rsid w:val="001D5852"/>
    <w:rsid w:val="001D60A1"/>
    <w:rsid w:val="001D6598"/>
    <w:rsid w:val="001D69D3"/>
    <w:rsid w:val="001D7FEC"/>
    <w:rsid w:val="001E047C"/>
    <w:rsid w:val="001E0C3F"/>
    <w:rsid w:val="001E10AA"/>
    <w:rsid w:val="001E161F"/>
    <w:rsid w:val="001E170D"/>
    <w:rsid w:val="001E1A6D"/>
    <w:rsid w:val="001E1F35"/>
    <w:rsid w:val="001E262E"/>
    <w:rsid w:val="001E2A32"/>
    <w:rsid w:val="001E2D72"/>
    <w:rsid w:val="001E34B7"/>
    <w:rsid w:val="001E3A13"/>
    <w:rsid w:val="001E4492"/>
    <w:rsid w:val="001E5E7C"/>
    <w:rsid w:val="001E69B2"/>
    <w:rsid w:val="001E7353"/>
    <w:rsid w:val="001E7749"/>
    <w:rsid w:val="001F04AC"/>
    <w:rsid w:val="001F09B8"/>
    <w:rsid w:val="001F19A7"/>
    <w:rsid w:val="001F1C38"/>
    <w:rsid w:val="001F3369"/>
    <w:rsid w:val="001F3B0A"/>
    <w:rsid w:val="001F3B17"/>
    <w:rsid w:val="001F3B95"/>
    <w:rsid w:val="001F48BE"/>
    <w:rsid w:val="001F4D51"/>
    <w:rsid w:val="001F5C61"/>
    <w:rsid w:val="001F5FE9"/>
    <w:rsid w:val="001F6558"/>
    <w:rsid w:val="001F6AD0"/>
    <w:rsid w:val="001F6B2F"/>
    <w:rsid w:val="001F762A"/>
    <w:rsid w:val="001F7F7F"/>
    <w:rsid w:val="00200922"/>
    <w:rsid w:val="00200969"/>
    <w:rsid w:val="00200A5D"/>
    <w:rsid w:val="00200B9A"/>
    <w:rsid w:val="00200F8D"/>
    <w:rsid w:val="002015CC"/>
    <w:rsid w:val="00201C44"/>
    <w:rsid w:val="00202292"/>
    <w:rsid w:val="00203370"/>
    <w:rsid w:val="002033A6"/>
    <w:rsid w:val="0020472E"/>
    <w:rsid w:val="0020481E"/>
    <w:rsid w:val="00205372"/>
    <w:rsid w:val="0020593B"/>
    <w:rsid w:val="00206946"/>
    <w:rsid w:val="00206ABA"/>
    <w:rsid w:val="00206C70"/>
    <w:rsid w:val="00207421"/>
    <w:rsid w:val="002077FA"/>
    <w:rsid w:val="00210481"/>
    <w:rsid w:val="00210FAC"/>
    <w:rsid w:val="002115FE"/>
    <w:rsid w:val="00212081"/>
    <w:rsid w:val="00212346"/>
    <w:rsid w:val="002126FA"/>
    <w:rsid w:val="00212A91"/>
    <w:rsid w:val="0021383E"/>
    <w:rsid w:val="00213D9A"/>
    <w:rsid w:val="00213DC2"/>
    <w:rsid w:val="002142F3"/>
    <w:rsid w:val="002143CB"/>
    <w:rsid w:val="0021452A"/>
    <w:rsid w:val="00214CCA"/>
    <w:rsid w:val="00214D59"/>
    <w:rsid w:val="0021506C"/>
    <w:rsid w:val="00215A23"/>
    <w:rsid w:val="002160EE"/>
    <w:rsid w:val="0021671D"/>
    <w:rsid w:val="00217B6A"/>
    <w:rsid w:val="00220AA1"/>
    <w:rsid w:val="00221C5F"/>
    <w:rsid w:val="00221EA7"/>
    <w:rsid w:val="00222410"/>
    <w:rsid w:val="0022246C"/>
    <w:rsid w:val="002227EA"/>
    <w:rsid w:val="00223CD6"/>
    <w:rsid w:val="00224EFF"/>
    <w:rsid w:val="00225D19"/>
    <w:rsid w:val="00225D8B"/>
    <w:rsid w:val="002262C4"/>
    <w:rsid w:val="00226DE3"/>
    <w:rsid w:val="002271B5"/>
    <w:rsid w:val="00227C2C"/>
    <w:rsid w:val="00230833"/>
    <w:rsid w:val="0023086E"/>
    <w:rsid w:val="00230ED4"/>
    <w:rsid w:val="002312FA"/>
    <w:rsid w:val="002316A2"/>
    <w:rsid w:val="00231C4A"/>
    <w:rsid w:val="00231DB0"/>
    <w:rsid w:val="00232209"/>
    <w:rsid w:val="00233453"/>
    <w:rsid w:val="00233797"/>
    <w:rsid w:val="0023405B"/>
    <w:rsid w:val="00234499"/>
    <w:rsid w:val="00234790"/>
    <w:rsid w:val="00235989"/>
    <w:rsid w:val="00235EE4"/>
    <w:rsid w:val="00236082"/>
    <w:rsid w:val="0023616E"/>
    <w:rsid w:val="00236190"/>
    <w:rsid w:val="002363CE"/>
    <w:rsid w:val="0023641B"/>
    <w:rsid w:val="002373C1"/>
    <w:rsid w:val="0023783F"/>
    <w:rsid w:val="00237FA3"/>
    <w:rsid w:val="002407A7"/>
    <w:rsid w:val="00240CDC"/>
    <w:rsid w:val="00240E62"/>
    <w:rsid w:val="00240E6F"/>
    <w:rsid w:val="0024280E"/>
    <w:rsid w:val="002432B5"/>
    <w:rsid w:val="002439E0"/>
    <w:rsid w:val="00243DF8"/>
    <w:rsid w:val="00246111"/>
    <w:rsid w:val="00246B7E"/>
    <w:rsid w:val="0024732A"/>
    <w:rsid w:val="002478CB"/>
    <w:rsid w:val="0025016F"/>
    <w:rsid w:val="002501B4"/>
    <w:rsid w:val="0025043B"/>
    <w:rsid w:val="00250FEA"/>
    <w:rsid w:val="00251208"/>
    <w:rsid w:val="00252EEE"/>
    <w:rsid w:val="00253313"/>
    <w:rsid w:val="00253E2A"/>
    <w:rsid w:val="00254BFD"/>
    <w:rsid w:val="002557C5"/>
    <w:rsid w:val="00255A5E"/>
    <w:rsid w:val="00255B2D"/>
    <w:rsid w:val="00256D40"/>
    <w:rsid w:val="00260C9F"/>
    <w:rsid w:val="00260D70"/>
    <w:rsid w:val="002627F6"/>
    <w:rsid w:val="00262ACD"/>
    <w:rsid w:val="002637BF"/>
    <w:rsid w:val="00263B3B"/>
    <w:rsid w:val="00264051"/>
    <w:rsid w:val="0026405C"/>
    <w:rsid w:val="0026410A"/>
    <w:rsid w:val="002644B2"/>
    <w:rsid w:val="002664B1"/>
    <w:rsid w:val="002664EA"/>
    <w:rsid w:val="00267456"/>
    <w:rsid w:val="0026760B"/>
    <w:rsid w:val="002676D5"/>
    <w:rsid w:val="00267E4C"/>
    <w:rsid w:val="00270252"/>
    <w:rsid w:val="002705A8"/>
    <w:rsid w:val="002714D7"/>
    <w:rsid w:val="00271978"/>
    <w:rsid w:val="00271FBE"/>
    <w:rsid w:val="00272227"/>
    <w:rsid w:val="002733CC"/>
    <w:rsid w:val="00274B0C"/>
    <w:rsid w:val="002758CD"/>
    <w:rsid w:val="00276111"/>
    <w:rsid w:val="0027617F"/>
    <w:rsid w:val="00276731"/>
    <w:rsid w:val="00276896"/>
    <w:rsid w:val="00277AA2"/>
    <w:rsid w:val="002803FC"/>
    <w:rsid w:val="00280853"/>
    <w:rsid w:val="00281042"/>
    <w:rsid w:val="002820D2"/>
    <w:rsid w:val="002833C0"/>
    <w:rsid w:val="00283A21"/>
    <w:rsid w:val="00283A3E"/>
    <w:rsid w:val="00283CFD"/>
    <w:rsid w:val="002843A1"/>
    <w:rsid w:val="0028464A"/>
    <w:rsid w:val="00284C0A"/>
    <w:rsid w:val="00284C86"/>
    <w:rsid w:val="00284EE3"/>
    <w:rsid w:val="002856D2"/>
    <w:rsid w:val="002858C4"/>
    <w:rsid w:val="00286319"/>
    <w:rsid w:val="00286448"/>
    <w:rsid w:val="00286903"/>
    <w:rsid w:val="00286CB6"/>
    <w:rsid w:val="00286E9B"/>
    <w:rsid w:val="002872F9"/>
    <w:rsid w:val="00287446"/>
    <w:rsid w:val="0028755B"/>
    <w:rsid w:val="002879DD"/>
    <w:rsid w:val="00287D34"/>
    <w:rsid w:val="00290FE8"/>
    <w:rsid w:val="00291525"/>
    <w:rsid w:val="00291D5F"/>
    <w:rsid w:val="00292396"/>
    <w:rsid w:val="00292749"/>
    <w:rsid w:val="00292D1A"/>
    <w:rsid w:val="002938FF"/>
    <w:rsid w:val="00295246"/>
    <w:rsid w:val="00295334"/>
    <w:rsid w:val="00295572"/>
    <w:rsid w:val="00295746"/>
    <w:rsid w:val="0029673A"/>
    <w:rsid w:val="00296957"/>
    <w:rsid w:val="002969EB"/>
    <w:rsid w:val="00297119"/>
    <w:rsid w:val="0029754B"/>
    <w:rsid w:val="002A03E6"/>
    <w:rsid w:val="002A15F6"/>
    <w:rsid w:val="002A18B9"/>
    <w:rsid w:val="002A1A1A"/>
    <w:rsid w:val="002A1E70"/>
    <w:rsid w:val="002A3259"/>
    <w:rsid w:val="002A3718"/>
    <w:rsid w:val="002A3C2E"/>
    <w:rsid w:val="002A3F18"/>
    <w:rsid w:val="002A3F2B"/>
    <w:rsid w:val="002A57FF"/>
    <w:rsid w:val="002A5A1C"/>
    <w:rsid w:val="002A65B3"/>
    <w:rsid w:val="002A7370"/>
    <w:rsid w:val="002A7700"/>
    <w:rsid w:val="002A7D39"/>
    <w:rsid w:val="002B079C"/>
    <w:rsid w:val="002B10DB"/>
    <w:rsid w:val="002B1471"/>
    <w:rsid w:val="002B158B"/>
    <w:rsid w:val="002B164B"/>
    <w:rsid w:val="002B1991"/>
    <w:rsid w:val="002B26C6"/>
    <w:rsid w:val="002B297D"/>
    <w:rsid w:val="002B2CD4"/>
    <w:rsid w:val="002B2EE1"/>
    <w:rsid w:val="002B37B5"/>
    <w:rsid w:val="002B38C8"/>
    <w:rsid w:val="002B404C"/>
    <w:rsid w:val="002B4911"/>
    <w:rsid w:val="002B51EA"/>
    <w:rsid w:val="002B5CFE"/>
    <w:rsid w:val="002B6468"/>
    <w:rsid w:val="002B6A10"/>
    <w:rsid w:val="002B6A38"/>
    <w:rsid w:val="002B6B5D"/>
    <w:rsid w:val="002B6F97"/>
    <w:rsid w:val="002B757F"/>
    <w:rsid w:val="002C056D"/>
    <w:rsid w:val="002C09A9"/>
    <w:rsid w:val="002C169D"/>
    <w:rsid w:val="002C3257"/>
    <w:rsid w:val="002C354F"/>
    <w:rsid w:val="002C35A6"/>
    <w:rsid w:val="002C35ED"/>
    <w:rsid w:val="002C38DA"/>
    <w:rsid w:val="002C3B8C"/>
    <w:rsid w:val="002C48F3"/>
    <w:rsid w:val="002C4B7E"/>
    <w:rsid w:val="002C4D35"/>
    <w:rsid w:val="002C548C"/>
    <w:rsid w:val="002C6437"/>
    <w:rsid w:val="002C67E1"/>
    <w:rsid w:val="002C6DE3"/>
    <w:rsid w:val="002C7CD2"/>
    <w:rsid w:val="002C7FA8"/>
    <w:rsid w:val="002D095D"/>
    <w:rsid w:val="002D0A35"/>
    <w:rsid w:val="002D1327"/>
    <w:rsid w:val="002D164A"/>
    <w:rsid w:val="002D17B4"/>
    <w:rsid w:val="002D2049"/>
    <w:rsid w:val="002D291F"/>
    <w:rsid w:val="002D2CE6"/>
    <w:rsid w:val="002D3AB9"/>
    <w:rsid w:val="002D4372"/>
    <w:rsid w:val="002D54B8"/>
    <w:rsid w:val="002D6BD6"/>
    <w:rsid w:val="002D6C1B"/>
    <w:rsid w:val="002D762B"/>
    <w:rsid w:val="002D7F7D"/>
    <w:rsid w:val="002E04E4"/>
    <w:rsid w:val="002E1D9D"/>
    <w:rsid w:val="002E21E5"/>
    <w:rsid w:val="002E2465"/>
    <w:rsid w:val="002E26C5"/>
    <w:rsid w:val="002E2755"/>
    <w:rsid w:val="002E2EFF"/>
    <w:rsid w:val="002E3185"/>
    <w:rsid w:val="002E37B4"/>
    <w:rsid w:val="002E4E89"/>
    <w:rsid w:val="002E59A3"/>
    <w:rsid w:val="002E6259"/>
    <w:rsid w:val="002F0356"/>
    <w:rsid w:val="002F0DF1"/>
    <w:rsid w:val="002F1042"/>
    <w:rsid w:val="002F13F4"/>
    <w:rsid w:val="002F182F"/>
    <w:rsid w:val="002F1980"/>
    <w:rsid w:val="002F2955"/>
    <w:rsid w:val="002F2983"/>
    <w:rsid w:val="002F2BD4"/>
    <w:rsid w:val="002F3DA0"/>
    <w:rsid w:val="002F3DD7"/>
    <w:rsid w:val="002F4D74"/>
    <w:rsid w:val="002F51F1"/>
    <w:rsid w:val="002F523E"/>
    <w:rsid w:val="002F5C29"/>
    <w:rsid w:val="002F6E72"/>
    <w:rsid w:val="002F7161"/>
    <w:rsid w:val="002F7A85"/>
    <w:rsid w:val="00300275"/>
    <w:rsid w:val="00300439"/>
    <w:rsid w:val="00300941"/>
    <w:rsid w:val="003009DC"/>
    <w:rsid w:val="00301272"/>
    <w:rsid w:val="003014DD"/>
    <w:rsid w:val="00301C3F"/>
    <w:rsid w:val="003022AA"/>
    <w:rsid w:val="003022CC"/>
    <w:rsid w:val="00302A6E"/>
    <w:rsid w:val="00303587"/>
    <w:rsid w:val="00303667"/>
    <w:rsid w:val="003039F0"/>
    <w:rsid w:val="00303A90"/>
    <w:rsid w:val="00304353"/>
    <w:rsid w:val="0030459A"/>
    <w:rsid w:val="00304B87"/>
    <w:rsid w:val="00304EBB"/>
    <w:rsid w:val="00305329"/>
    <w:rsid w:val="003055CB"/>
    <w:rsid w:val="00305B12"/>
    <w:rsid w:val="00305B6A"/>
    <w:rsid w:val="00305EF0"/>
    <w:rsid w:val="003063D3"/>
    <w:rsid w:val="003071C0"/>
    <w:rsid w:val="003078DB"/>
    <w:rsid w:val="00307E38"/>
    <w:rsid w:val="00307EF0"/>
    <w:rsid w:val="00311D33"/>
    <w:rsid w:val="00312F7B"/>
    <w:rsid w:val="00314113"/>
    <w:rsid w:val="003158BD"/>
    <w:rsid w:val="00315DD9"/>
    <w:rsid w:val="00316365"/>
    <w:rsid w:val="00316512"/>
    <w:rsid w:val="00316BE0"/>
    <w:rsid w:val="00320076"/>
    <w:rsid w:val="00320BF6"/>
    <w:rsid w:val="003217F2"/>
    <w:rsid w:val="00321931"/>
    <w:rsid w:val="00321E46"/>
    <w:rsid w:val="00322B4C"/>
    <w:rsid w:val="00322B7B"/>
    <w:rsid w:val="003231F6"/>
    <w:rsid w:val="00323B83"/>
    <w:rsid w:val="00324277"/>
    <w:rsid w:val="0032473D"/>
    <w:rsid w:val="0032486A"/>
    <w:rsid w:val="003252FB"/>
    <w:rsid w:val="00325A09"/>
    <w:rsid w:val="00325F4D"/>
    <w:rsid w:val="00327081"/>
    <w:rsid w:val="00327649"/>
    <w:rsid w:val="00327A3A"/>
    <w:rsid w:val="00327ABF"/>
    <w:rsid w:val="00330AF9"/>
    <w:rsid w:val="00330D0A"/>
    <w:rsid w:val="00330E91"/>
    <w:rsid w:val="003310C6"/>
    <w:rsid w:val="00331130"/>
    <w:rsid w:val="0033176A"/>
    <w:rsid w:val="0033247B"/>
    <w:rsid w:val="003325C3"/>
    <w:rsid w:val="00332FC8"/>
    <w:rsid w:val="00333081"/>
    <w:rsid w:val="0033411A"/>
    <w:rsid w:val="00334130"/>
    <w:rsid w:val="00335363"/>
    <w:rsid w:val="003356DB"/>
    <w:rsid w:val="00335802"/>
    <w:rsid w:val="00335CFF"/>
    <w:rsid w:val="00335F23"/>
    <w:rsid w:val="003362B5"/>
    <w:rsid w:val="00336B8B"/>
    <w:rsid w:val="00336D5B"/>
    <w:rsid w:val="00336F26"/>
    <w:rsid w:val="0033775C"/>
    <w:rsid w:val="003379B9"/>
    <w:rsid w:val="00340A1E"/>
    <w:rsid w:val="0034112D"/>
    <w:rsid w:val="0034124E"/>
    <w:rsid w:val="003412FF"/>
    <w:rsid w:val="003414A8"/>
    <w:rsid w:val="00341532"/>
    <w:rsid w:val="00341B86"/>
    <w:rsid w:val="0034284B"/>
    <w:rsid w:val="00343718"/>
    <w:rsid w:val="003438C0"/>
    <w:rsid w:val="00343FB4"/>
    <w:rsid w:val="00344451"/>
    <w:rsid w:val="00345226"/>
    <w:rsid w:val="00345488"/>
    <w:rsid w:val="00347093"/>
    <w:rsid w:val="0035034A"/>
    <w:rsid w:val="00350777"/>
    <w:rsid w:val="00350C77"/>
    <w:rsid w:val="003519AD"/>
    <w:rsid w:val="003527B5"/>
    <w:rsid w:val="00352E7B"/>
    <w:rsid w:val="00352F9E"/>
    <w:rsid w:val="003530AA"/>
    <w:rsid w:val="003536D1"/>
    <w:rsid w:val="003538E8"/>
    <w:rsid w:val="0035405B"/>
    <w:rsid w:val="003548FB"/>
    <w:rsid w:val="00354A46"/>
    <w:rsid w:val="003554C6"/>
    <w:rsid w:val="003560B2"/>
    <w:rsid w:val="003561F7"/>
    <w:rsid w:val="00356264"/>
    <w:rsid w:val="00356715"/>
    <w:rsid w:val="0035681C"/>
    <w:rsid w:val="00356E4B"/>
    <w:rsid w:val="0036011A"/>
    <w:rsid w:val="0036152C"/>
    <w:rsid w:val="00361EE7"/>
    <w:rsid w:val="003628B8"/>
    <w:rsid w:val="00362939"/>
    <w:rsid w:val="00362F0B"/>
    <w:rsid w:val="00363EF9"/>
    <w:rsid w:val="00364165"/>
    <w:rsid w:val="00364528"/>
    <w:rsid w:val="00365974"/>
    <w:rsid w:val="00366335"/>
    <w:rsid w:val="003667E3"/>
    <w:rsid w:val="00366D7E"/>
    <w:rsid w:val="0037131C"/>
    <w:rsid w:val="00371461"/>
    <w:rsid w:val="00371985"/>
    <w:rsid w:val="00372198"/>
    <w:rsid w:val="00372217"/>
    <w:rsid w:val="003726EE"/>
    <w:rsid w:val="00372AFC"/>
    <w:rsid w:val="00372E28"/>
    <w:rsid w:val="0037350A"/>
    <w:rsid w:val="00373B2E"/>
    <w:rsid w:val="00373DD4"/>
    <w:rsid w:val="00374808"/>
    <w:rsid w:val="00374871"/>
    <w:rsid w:val="00375836"/>
    <w:rsid w:val="00375B96"/>
    <w:rsid w:val="00375D0D"/>
    <w:rsid w:val="003771AC"/>
    <w:rsid w:val="003771FA"/>
    <w:rsid w:val="003772B6"/>
    <w:rsid w:val="003809EA"/>
    <w:rsid w:val="00381199"/>
    <w:rsid w:val="00381345"/>
    <w:rsid w:val="00381382"/>
    <w:rsid w:val="003815B8"/>
    <w:rsid w:val="00381616"/>
    <w:rsid w:val="003819CC"/>
    <w:rsid w:val="00382AFE"/>
    <w:rsid w:val="00382C45"/>
    <w:rsid w:val="00383720"/>
    <w:rsid w:val="00385037"/>
    <w:rsid w:val="003851D2"/>
    <w:rsid w:val="00386A58"/>
    <w:rsid w:val="00386BC7"/>
    <w:rsid w:val="00386C68"/>
    <w:rsid w:val="00386DFB"/>
    <w:rsid w:val="00386EC8"/>
    <w:rsid w:val="00387C23"/>
    <w:rsid w:val="00387FA5"/>
    <w:rsid w:val="00390552"/>
    <w:rsid w:val="003919BB"/>
    <w:rsid w:val="00392B5C"/>
    <w:rsid w:val="00392E94"/>
    <w:rsid w:val="00392ED5"/>
    <w:rsid w:val="00392FFF"/>
    <w:rsid w:val="0039342F"/>
    <w:rsid w:val="00393704"/>
    <w:rsid w:val="00393994"/>
    <w:rsid w:val="00393E25"/>
    <w:rsid w:val="00394AC6"/>
    <w:rsid w:val="0039565C"/>
    <w:rsid w:val="003965E1"/>
    <w:rsid w:val="0039672D"/>
    <w:rsid w:val="003A000C"/>
    <w:rsid w:val="003A0894"/>
    <w:rsid w:val="003A0B6D"/>
    <w:rsid w:val="003A0F59"/>
    <w:rsid w:val="003A17D0"/>
    <w:rsid w:val="003A24AC"/>
    <w:rsid w:val="003A369A"/>
    <w:rsid w:val="003A499B"/>
    <w:rsid w:val="003A50F2"/>
    <w:rsid w:val="003A5223"/>
    <w:rsid w:val="003A56E0"/>
    <w:rsid w:val="003A5737"/>
    <w:rsid w:val="003A6ACA"/>
    <w:rsid w:val="003A6CDD"/>
    <w:rsid w:val="003A6F4E"/>
    <w:rsid w:val="003B0673"/>
    <w:rsid w:val="003B1889"/>
    <w:rsid w:val="003B1957"/>
    <w:rsid w:val="003B216C"/>
    <w:rsid w:val="003B37A6"/>
    <w:rsid w:val="003B3C89"/>
    <w:rsid w:val="003B41D4"/>
    <w:rsid w:val="003B45B0"/>
    <w:rsid w:val="003B486D"/>
    <w:rsid w:val="003B4BC6"/>
    <w:rsid w:val="003B4BCD"/>
    <w:rsid w:val="003B5BC0"/>
    <w:rsid w:val="003B5CEF"/>
    <w:rsid w:val="003B6B7B"/>
    <w:rsid w:val="003B7F44"/>
    <w:rsid w:val="003C06FF"/>
    <w:rsid w:val="003C16FC"/>
    <w:rsid w:val="003C1965"/>
    <w:rsid w:val="003C1B29"/>
    <w:rsid w:val="003C1D36"/>
    <w:rsid w:val="003C2133"/>
    <w:rsid w:val="003C2C10"/>
    <w:rsid w:val="003C2D56"/>
    <w:rsid w:val="003C2D93"/>
    <w:rsid w:val="003C30CC"/>
    <w:rsid w:val="003C31BB"/>
    <w:rsid w:val="003C370D"/>
    <w:rsid w:val="003C5754"/>
    <w:rsid w:val="003C5FCC"/>
    <w:rsid w:val="003C6346"/>
    <w:rsid w:val="003C7489"/>
    <w:rsid w:val="003C755F"/>
    <w:rsid w:val="003C75CA"/>
    <w:rsid w:val="003C7C24"/>
    <w:rsid w:val="003C7FFB"/>
    <w:rsid w:val="003D0AEB"/>
    <w:rsid w:val="003D10F7"/>
    <w:rsid w:val="003D1DA9"/>
    <w:rsid w:val="003D1DE9"/>
    <w:rsid w:val="003D2135"/>
    <w:rsid w:val="003D24EB"/>
    <w:rsid w:val="003D2635"/>
    <w:rsid w:val="003D2800"/>
    <w:rsid w:val="003D2D36"/>
    <w:rsid w:val="003D3209"/>
    <w:rsid w:val="003D3687"/>
    <w:rsid w:val="003D412C"/>
    <w:rsid w:val="003D4FC7"/>
    <w:rsid w:val="003D535A"/>
    <w:rsid w:val="003D5CA9"/>
    <w:rsid w:val="003D5EDF"/>
    <w:rsid w:val="003D63A8"/>
    <w:rsid w:val="003E0957"/>
    <w:rsid w:val="003E0A8D"/>
    <w:rsid w:val="003E0F54"/>
    <w:rsid w:val="003E16D0"/>
    <w:rsid w:val="003E1B0E"/>
    <w:rsid w:val="003E1D9B"/>
    <w:rsid w:val="003E3791"/>
    <w:rsid w:val="003E3A92"/>
    <w:rsid w:val="003E421D"/>
    <w:rsid w:val="003E4548"/>
    <w:rsid w:val="003E4929"/>
    <w:rsid w:val="003E4F22"/>
    <w:rsid w:val="003E529D"/>
    <w:rsid w:val="003E5C47"/>
    <w:rsid w:val="003E6AFA"/>
    <w:rsid w:val="003E7115"/>
    <w:rsid w:val="003F0997"/>
    <w:rsid w:val="003F0C9C"/>
    <w:rsid w:val="003F0D20"/>
    <w:rsid w:val="003F12E2"/>
    <w:rsid w:val="003F252A"/>
    <w:rsid w:val="003F2EE1"/>
    <w:rsid w:val="003F2F83"/>
    <w:rsid w:val="003F3864"/>
    <w:rsid w:val="003F3CAB"/>
    <w:rsid w:val="003F501F"/>
    <w:rsid w:val="003F5483"/>
    <w:rsid w:val="003F5DB1"/>
    <w:rsid w:val="003F5F58"/>
    <w:rsid w:val="003F728A"/>
    <w:rsid w:val="003F7749"/>
    <w:rsid w:val="003F7917"/>
    <w:rsid w:val="004000C2"/>
    <w:rsid w:val="00400270"/>
    <w:rsid w:val="00400466"/>
    <w:rsid w:val="00400542"/>
    <w:rsid w:val="00400A3F"/>
    <w:rsid w:val="004014CE"/>
    <w:rsid w:val="004014F5"/>
    <w:rsid w:val="00401EA2"/>
    <w:rsid w:val="0040281E"/>
    <w:rsid w:val="004028E3"/>
    <w:rsid w:val="00402C13"/>
    <w:rsid w:val="00402C97"/>
    <w:rsid w:val="0040313F"/>
    <w:rsid w:val="00403BB6"/>
    <w:rsid w:val="00403DAD"/>
    <w:rsid w:val="004042BC"/>
    <w:rsid w:val="00404539"/>
    <w:rsid w:val="00404602"/>
    <w:rsid w:val="00404703"/>
    <w:rsid w:val="00405804"/>
    <w:rsid w:val="004060B2"/>
    <w:rsid w:val="0040610C"/>
    <w:rsid w:val="00407540"/>
    <w:rsid w:val="004109F5"/>
    <w:rsid w:val="00410F47"/>
    <w:rsid w:val="004117A0"/>
    <w:rsid w:val="00411C6F"/>
    <w:rsid w:val="00412767"/>
    <w:rsid w:val="00412BCD"/>
    <w:rsid w:val="00412EE1"/>
    <w:rsid w:val="004138A4"/>
    <w:rsid w:val="00414A99"/>
    <w:rsid w:val="00415419"/>
    <w:rsid w:val="00415766"/>
    <w:rsid w:val="00415A84"/>
    <w:rsid w:val="00415C24"/>
    <w:rsid w:val="00415DC0"/>
    <w:rsid w:val="00416336"/>
    <w:rsid w:val="0041773B"/>
    <w:rsid w:val="00420DF4"/>
    <w:rsid w:val="004218E7"/>
    <w:rsid w:val="00421C8D"/>
    <w:rsid w:val="00421CA9"/>
    <w:rsid w:val="0042241A"/>
    <w:rsid w:val="00422CD2"/>
    <w:rsid w:val="004260B0"/>
    <w:rsid w:val="00426671"/>
    <w:rsid w:val="00427B0D"/>
    <w:rsid w:val="00427EA2"/>
    <w:rsid w:val="004300B9"/>
    <w:rsid w:val="004302FC"/>
    <w:rsid w:val="004304B3"/>
    <w:rsid w:val="004309CB"/>
    <w:rsid w:val="00430E8A"/>
    <w:rsid w:val="00431AD6"/>
    <w:rsid w:val="00432146"/>
    <w:rsid w:val="00432910"/>
    <w:rsid w:val="00433777"/>
    <w:rsid w:val="00433FE6"/>
    <w:rsid w:val="004342DC"/>
    <w:rsid w:val="00434E8C"/>
    <w:rsid w:val="00435485"/>
    <w:rsid w:val="00435CDA"/>
    <w:rsid w:val="00435E74"/>
    <w:rsid w:val="004364AA"/>
    <w:rsid w:val="00436D65"/>
    <w:rsid w:val="00436EE9"/>
    <w:rsid w:val="004408C7"/>
    <w:rsid w:val="00440A1F"/>
    <w:rsid w:val="0044148B"/>
    <w:rsid w:val="004416E6"/>
    <w:rsid w:val="00441C2A"/>
    <w:rsid w:val="0044200A"/>
    <w:rsid w:val="00442F13"/>
    <w:rsid w:val="0044337A"/>
    <w:rsid w:val="00443A55"/>
    <w:rsid w:val="00443B20"/>
    <w:rsid w:val="004455E7"/>
    <w:rsid w:val="00445D5E"/>
    <w:rsid w:val="004467BB"/>
    <w:rsid w:val="00446AF8"/>
    <w:rsid w:val="00446C96"/>
    <w:rsid w:val="00447477"/>
    <w:rsid w:val="00450150"/>
    <w:rsid w:val="004502A3"/>
    <w:rsid w:val="004502B0"/>
    <w:rsid w:val="00450983"/>
    <w:rsid w:val="0045120F"/>
    <w:rsid w:val="004513FA"/>
    <w:rsid w:val="00451473"/>
    <w:rsid w:val="00451905"/>
    <w:rsid w:val="00452791"/>
    <w:rsid w:val="004528A8"/>
    <w:rsid w:val="004533F2"/>
    <w:rsid w:val="004541BB"/>
    <w:rsid w:val="0045443C"/>
    <w:rsid w:val="0045456A"/>
    <w:rsid w:val="0045527B"/>
    <w:rsid w:val="00455CC8"/>
    <w:rsid w:val="00455D88"/>
    <w:rsid w:val="00455FB1"/>
    <w:rsid w:val="004561EE"/>
    <w:rsid w:val="0045620A"/>
    <w:rsid w:val="004567D2"/>
    <w:rsid w:val="0045681A"/>
    <w:rsid w:val="004573F4"/>
    <w:rsid w:val="00457C97"/>
    <w:rsid w:val="00457E51"/>
    <w:rsid w:val="00457F5A"/>
    <w:rsid w:val="004601CF"/>
    <w:rsid w:val="004609AF"/>
    <w:rsid w:val="004628C8"/>
    <w:rsid w:val="004637D6"/>
    <w:rsid w:val="004644A0"/>
    <w:rsid w:val="00464772"/>
    <w:rsid w:val="00464B22"/>
    <w:rsid w:val="00466A90"/>
    <w:rsid w:val="00466E58"/>
    <w:rsid w:val="00467486"/>
    <w:rsid w:val="0046765F"/>
    <w:rsid w:val="00467D96"/>
    <w:rsid w:val="0047006E"/>
    <w:rsid w:val="004701F8"/>
    <w:rsid w:val="00470C06"/>
    <w:rsid w:val="00471A20"/>
    <w:rsid w:val="00471AC5"/>
    <w:rsid w:val="004724EF"/>
    <w:rsid w:val="00472A04"/>
    <w:rsid w:val="00472E34"/>
    <w:rsid w:val="00472EFF"/>
    <w:rsid w:val="00473C0F"/>
    <w:rsid w:val="00474168"/>
    <w:rsid w:val="00474312"/>
    <w:rsid w:val="004746B7"/>
    <w:rsid w:val="00474890"/>
    <w:rsid w:val="00474A0B"/>
    <w:rsid w:val="004764C3"/>
    <w:rsid w:val="004766CB"/>
    <w:rsid w:val="00476B12"/>
    <w:rsid w:val="0047728C"/>
    <w:rsid w:val="0047762F"/>
    <w:rsid w:val="0048088A"/>
    <w:rsid w:val="004822EA"/>
    <w:rsid w:val="00482E69"/>
    <w:rsid w:val="00482F12"/>
    <w:rsid w:val="00483628"/>
    <w:rsid w:val="004836FF"/>
    <w:rsid w:val="00483ED7"/>
    <w:rsid w:val="00483F19"/>
    <w:rsid w:val="0048400C"/>
    <w:rsid w:val="00484A0F"/>
    <w:rsid w:val="00484AC3"/>
    <w:rsid w:val="00485319"/>
    <w:rsid w:val="00485C94"/>
    <w:rsid w:val="00485CC7"/>
    <w:rsid w:val="004870C2"/>
    <w:rsid w:val="00487DDA"/>
    <w:rsid w:val="00490354"/>
    <w:rsid w:val="0049139B"/>
    <w:rsid w:val="00491885"/>
    <w:rsid w:val="00491A56"/>
    <w:rsid w:val="00491E53"/>
    <w:rsid w:val="0049292B"/>
    <w:rsid w:val="00494F11"/>
    <w:rsid w:val="00495175"/>
    <w:rsid w:val="00495CB9"/>
    <w:rsid w:val="00495E20"/>
    <w:rsid w:val="00496489"/>
    <w:rsid w:val="00496640"/>
    <w:rsid w:val="00496A2F"/>
    <w:rsid w:val="00496EB4"/>
    <w:rsid w:val="00496F21"/>
    <w:rsid w:val="00497174"/>
    <w:rsid w:val="00497626"/>
    <w:rsid w:val="004A07F1"/>
    <w:rsid w:val="004A2011"/>
    <w:rsid w:val="004A276A"/>
    <w:rsid w:val="004A2FA1"/>
    <w:rsid w:val="004A3FA4"/>
    <w:rsid w:val="004A4250"/>
    <w:rsid w:val="004A4656"/>
    <w:rsid w:val="004A4D23"/>
    <w:rsid w:val="004A53C0"/>
    <w:rsid w:val="004A5BA2"/>
    <w:rsid w:val="004A66C1"/>
    <w:rsid w:val="004A7574"/>
    <w:rsid w:val="004A7C26"/>
    <w:rsid w:val="004A7D2B"/>
    <w:rsid w:val="004B15A7"/>
    <w:rsid w:val="004B1C2F"/>
    <w:rsid w:val="004B2ACE"/>
    <w:rsid w:val="004B2E07"/>
    <w:rsid w:val="004B304F"/>
    <w:rsid w:val="004B3B07"/>
    <w:rsid w:val="004B3DF5"/>
    <w:rsid w:val="004B494E"/>
    <w:rsid w:val="004B50E4"/>
    <w:rsid w:val="004B54F2"/>
    <w:rsid w:val="004B5E9E"/>
    <w:rsid w:val="004B5EF0"/>
    <w:rsid w:val="004B68FF"/>
    <w:rsid w:val="004B78D1"/>
    <w:rsid w:val="004B794F"/>
    <w:rsid w:val="004B7FF9"/>
    <w:rsid w:val="004C16FF"/>
    <w:rsid w:val="004C19A0"/>
    <w:rsid w:val="004C2E02"/>
    <w:rsid w:val="004C3092"/>
    <w:rsid w:val="004C3644"/>
    <w:rsid w:val="004C4685"/>
    <w:rsid w:val="004C5C47"/>
    <w:rsid w:val="004C5CBF"/>
    <w:rsid w:val="004C6AFF"/>
    <w:rsid w:val="004C7390"/>
    <w:rsid w:val="004C77A3"/>
    <w:rsid w:val="004D0514"/>
    <w:rsid w:val="004D0DB5"/>
    <w:rsid w:val="004D3293"/>
    <w:rsid w:val="004D3531"/>
    <w:rsid w:val="004D38E5"/>
    <w:rsid w:val="004D3DE0"/>
    <w:rsid w:val="004D3E8B"/>
    <w:rsid w:val="004D48DD"/>
    <w:rsid w:val="004D49D9"/>
    <w:rsid w:val="004D5604"/>
    <w:rsid w:val="004D6219"/>
    <w:rsid w:val="004D695A"/>
    <w:rsid w:val="004D6BCB"/>
    <w:rsid w:val="004D75BA"/>
    <w:rsid w:val="004D7BB0"/>
    <w:rsid w:val="004E0150"/>
    <w:rsid w:val="004E07C0"/>
    <w:rsid w:val="004E0810"/>
    <w:rsid w:val="004E1B5B"/>
    <w:rsid w:val="004E2400"/>
    <w:rsid w:val="004E2424"/>
    <w:rsid w:val="004E25A0"/>
    <w:rsid w:val="004E283E"/>
    <w:rsid w:val="004E28A0"/>
    <w:rsid w:val="004E2E1C"/>
    <w:rsid w:val="004E3168"/>
    <w:rsid w:val="004E3258"/>
    <w:rsid w:val="004E409C"/>
    <w:rsid w:val="004E4A45"/>
    <w:rsid w:val="004E52C2"/>
    <w:rsid w:val="004E56BC"/>
    <w:rsid w:val="004E5BD4"/>
    <w:rsid w:val="004E5F4B"/>
    <w:rsid w:val="004E6599"/>
    <w:rsid w:val="004E6B4C"/>
    <w:rsid w:val="004E6FFB"/>
    <w:rsid w:val="004E7104"/>
    <w:rsid w:val="004E7399"/>
    <w:rsid w:val="004E7C92"/>
    <w:rsid w:val="004F0911"/>
    <w:rsid w:val="004F1451"/>
    <w:rsid w:val="004F278D"/>
    <w:rsid w:val="004F2B33"/>
    <w:rsid w:val="004F2EC6"/>
    <w:rsid w:val="004F3319"/>
    <w:rsid w:val="004F3E0B"/>
    <w:rsid w:val="004F3EB1"/>
    <w:rsid w:val="004F439B"/>
    <w:rsid w:val="004F44CF"/>
    <w:rsid w:val="004F4C78"/>
    <w:rsid w:val="004F4CED"/>
    <w:rsid w:val="004F5051"/>
    <w:rsid w:val="004F5743"/>
    <w:rsid w:val="004F59C7"/>
    <w:rsid w:val="004F5B5B"/>
    <w:rsid w:val="004F6375"/>
    <w:rsid w:val="004F679B"/>
    <w:rsid w:val="004F72DD"/>
    <w:rsid w:val="004F7FDC"/>
    <w:rsid w:val="005008D6"/>
    <w:rsid w:val="005013FF"/>
    <w:rsid w:val="00501CB5"/>
    <w:rsid w:val="00502339"/>
    <w:rsid w:val="00502765"/>
    <w:rsid w:val="00502FC5"/>
    <w:rsid w:val="0050493F"/>
    <w:rsid w:val="00504CD9"/>
    <w:rsid w:val="00505E66"/>
    <w:rsid w:val="00505E82"/>
    <w:rsid w:val="00506132"/>
    <w:rsid w:val="00506A32"/>
    <w:rsid w:val="005075BE"/>
    <w:rsid w:val="005103CC"/>
    <w:rsid w:val="0051127E"/>
    <w:rsid w:val="00511A42"/>
    <w:rsid w:val="00512530"/>
    <w:rsid w:val="005139F2"/>
    <w:rsid w:val="00513C3B"/>
    <w:rsid w:val="00513C75"/>
    <w:rsid w:val="00513CF7"/>
    <w:rsid w:val="00514033"/>
    <w:rsid w:val="00514127"/>
    <w:rsid w:val="005146D4"/>
    <w:rsid w:val="00514CDF"/>
    <w:rsid w:val="0051523D"/>
    <w:rsid w:val="005156D9"/>
    <w:rsid w:val="00515C71"/>
    <w:rsid w:val="005164E1"/>
    <w:rsid w:val="00517014"/>
    <w:rsid w:val="0051748B"/>
    <w:rsid w:val="00520AEF"/>
    <w:rsid w:val="00521417"/>
    <w:rsid w:val="0052144F"/>
    <w:rsid w:val="005234D0"/>
    <w:rsid w:val="00523658"/>
    <w:rsid w:val="00523A7C"/>
    <w:rsid w:val="00524376"/>
    <w:rsid w:val="005248CA"/>
    <w:rsid w:val="005275E0"/>
    <w:rsid w:val="00527A22"/>
    <w:rsid w:val="00527E4D"/>
    <w:rsid w:val="00530032"/>
    <w:rsid w:val="00530285"/>
    <w:rsid w:val="005303EB"/>
    <w:rsid w:val="0053050A"/>
    <w:rsid w:val="00531742"/>
    <w:rsid w:val="00531AD6"/>
    <w:rsid w:val="0053299B"/>
    <w:rsid w:val="005335E3"/>
    <w:rsid w:val="00533809"/>
    <w:rsid w:val="00533C60"/>
    <w:rsid w:val="0053532C"/>
    <w:rsid w:val="0053579A"/>
    <w:rsid w:val="005358C1"/>
    <w:rsid w:val="005370DF"/>
    <w:rsid w:val="00537423"/>
    <w:rsid w:val="005400C8"/>
    <w:rsid w:val="00540877"/>
    <w:rsid w:val="00540A00"/>
    <w:rsid w:val="00540D9C"/>
    <w:rsid w:val="00540DE3"/>
    <w:rsid w:val="00540FA6"/>
    <w:rsid w:val="00541012"/>
    <w:rsid w:val="00541892"/>
    <w:rsid w:val="005419FC"/>
    <w:rsid w:val="00541C9B"/>
    <w:rsid w:val="00542802"/>
    <w:rsid w:val="005434C6"/>
    <w:rsid w:val="005434D8"/>
    <w:rsid w:val="005441ED"/>
    <w:rsid w:val="00544228"/>
    <w:rsid w:val="0054487C"/>
    <w:rsid w:val="00544F80"/>
    <w:rsid w:val="005456A7"/>
    <w:rsid w:val="00546A80"/>
    <w:rsid w:val="00547060"/>
    <w:rsid w:val="005472E7"/>
    <w:rsid w:val="00547404"/>
    <w:rsid w:val="00547BF6"/>
    <w:rsid w:val="0055108A"/>
    <w:rsid w:val="00551770"/>
    <w:rsid w:val="00552B83"/>
    <w:rsid w:val="00552C28"/>
    <w:rsid w:val="00553000"/>
    <w:rsid w:val="005531E4"/>
    <w:rsid w:val="00554250"/>
    <w:rsid w:val="005544E6"/>
    <w:rsid w:val="005545DC"/>
    <w:rsid w:val="00554A01"/>
    <w:rsid w:val="00555CEE"/>
    <w:rsid w:val="00556EBE"/>
    <w:rsid w:val="0055765F"/>
    <w:rsid w:val="005606E1"/>
    <w:rsid w:val="00560947"/>
    <w:rsid w:val="00563562"/>
    <w:rsid w:val="0056368B"/>
    <w:rsid w:val="0056439C"/>
    <w:rsid w:val="00564534"/>
    <w:rsid w:val="00564690"/>
    <w:rsid w:val="00565D6F"/>
    <w:rsid w:val="005662A6"/>
    <w:rsid w:val="005678A5"/>
    <w:rsid w:val="00570314"/>
    <w:rsid w:val="0057064B"/>
    <w:rsid w:val="00570835"/>
    <w:rsid w:val="00570D8A"/>
    <w:rsid w:val="00571019"/>
    <w:rsid w:val="00571336"/>
    <w:rsid w:val="00573A39"/>
    <w:rsid w:val="00573A7C"/>
    <w:rsid w:val="0057458D"/>
    <w:rsid w:val="00574626"/>
    <w:rsid w:val="00574C84"/>
    <w:rsid w:val="00574E62"/>
    <w:rsid w:val="00574F64"/>
    <w:rsid w:val="00575CC1"/>
    <w:rsid w:val="005773C4"/>
    <w:rsid w:val="00582555"/>
    <w:rsid w:val="005828D0"/>
    <w:rsid w:val="00582FFF"/>
    <w:rsid w:val="00583285"/>
    <w:rsid w:val="00583B54"/>
    <w:rsid w:val="00583F62"/>
    <w:rsid w:val="00584206"/>
    <w:rsid w:val="005849FC"/>
    <w:rsid w:val="00584A1E"/>
    <w:rsid w:val="005850BC"/>
    <w:rsid w:val="00585644"/>
    <w:rsid w:val="005856A3"/>
    <w:rsid w:val="005860CC"/>
    <w:rsid w:val="0058628A"/>
    <w:rsid w:val="00586606"/>
    <w:rsid w:val="00587F41"/>
    <w:rsid w:val="005912E8"/>
    <w:rsid w:val="0059135B"/>
    <w:rsid w:val="005914CF"/>
    <w:rsid w:val="00591BC6"/>
    <w:rsid w:val="0059351A"/>
    <w:rsid w:val="0059363E"/>
    <w:rsid w:val="00593740"/>
    <w:rsid w:val="00594315"/>
    <w:rsid w:val="00594B2F"/>
    <w:rsid w:val="00595155"/>
    <w:rsid w:val="00595DDF"/>
    <w:rsid w:val="00595FFB"/>
    <w:rsid w:val="0059679C"/>
    <w:rsid w:val="00596F01"/>
    <w:rsid w:val="00596FC6"/>
    <w:rsid w:val="00597608"/>
    <w:rsid w:val="00597618"/>
    <w:rsid w:val="00597D57"/>
    <w:rsid w:val="00597E49"/>
    <w:rsid w:val="005A011E"/>
    <w:rsid w:val="005A0745"/>
    <w:rsid w:val="005A0D37"/>
    <w:rsid w:val="005A1187"/>
    <w:rsid w:val="005A18CE"/>
    <w:rsid w:val="005A2309"/>
    <w:rsid w:val="005A23C1"/>
    <w:rsid w:val="005A23D4"/>
    <w:rsid w:val="005A2FC7"/>
    <w:rsid w:val="005A3661"/>
    <w:rsid w:val="005A37A4"/>
    <w:rsid w:val="005A44C1"/>
    <w:rsid w:val="005A599D"/>
    <w:rsid w:val="005A5E23"/>
    <w:rsid w:val="005A6621"/>
    <w:rsid w:val="005A7911"/>
    <w:rsid w:val="005B0793"/>
    <w:rsid w:val="005B0A00"/>
    <w:rsid w:val="005B10BC"/>
    <w:rsid w:val="005B4EC3"/>
    <w:rsid w:val="005B5098"/>
    <w:rsid w:val="005B58C6"/>
    <w:rsid w:val="005B591D"/>
    <w:rsid w:val="005B664A"/>
    <w:rsid w:val="005B71AF"/>
    <w:rsid w:val="005B7EBA"/>
    <w:rsid w:val="005C004B"/>
    <w:rsid w:val="005C00FF"/>
    <w:rsid w:val="005C0110"/>
    <w:rsid w:val="005C097A"/>
    <w:rsid w:val="005C0AAF"/>
    <w:rsid w:val="005C0ABF"/>
    <w:rsid w:val="005C1294"/>
    <w:rsid w:val="005C15F0"/>
    <w:rsid w:val="005C1FA9"/>
    <w:rsid w:val="005C26A4"/>
    <w:rsid w:val="005C28AD"/>
    <w:rsid w:val="005C2B0E"/>
    <w:rsid w:val="005C2C17"/>
    <w:rsid w:val="005C36D1"/>
    <w:rsid w:val="005C7684"/>
    <w:rsid w:val="005C775B"/>
    <w:rsid w:val="005C7823"/>
    <w:rsid w:val="005C7E8E"/>
    <w:rsid w:val="005D01FE"/>
    <w:rsid w:val="005D0E61"/>
    <w:rsid w:val="005D1438"/>
    <w:rsid w:val="005D15EA"/>
    <w:rsid w:val="005D16F4"/>
    <w:rsid w:val="005D1DAA"/>
    <w:rsid w:val="005D230A"/>
    <w:rsid w:val="005D3714"/>
    <w:rsid w:val="005D407D"/>
    <w:rsid w:val="005D4392"/>
    <w:rsid w:val="005D45F3"/>
    <w:rsid w:val="005D5707"/>
    <w:rsid w:val="005D6B12"/>
    <w:rsid w:val="005D7238"/>
    <w:rsid w:val="005E1171"/>
    <w:rsid w:val="005E1617"/>
    <w:rsid w:val="005E17E8"/>
    <w:rsid w:val="005E1B6B"/>
    <w:rsid w:val="005E1F1E"/>
    <w:rsid w:val="005E2346"/>
    <w:rsid w:val="005E2E11"/>
    <w:rsid w:val="005E33CA"/>
    <w:rsid w:val="005E5744"/>
    <w:rsid w:val="005E5872"/>
    <w:rsid w:val="005E5BA2"/>
    <w:rsid w:val="005E5C07"/>
    <w:rsid w:val="005E69FE"/>
    <w:rsid w:val="005E6BE4"/>
    <w:rsid w:val="005E6F56"/>
    <w:rsid w:val="005E7891"/>
    <w:rsid w:val="005E7C76"/>
    <w:rsid w:val="005F09A4"/>
    <w:rsid w:val="005F0B26"/>
    <w:rsid w:val="005F1D33"/>
    <w:rsid w:val="005F2F05"/>
    <w:rsid w:val="005F32A6"/>
    <w:rsid w:val="005F4268"/>
    <w:rsid w:val="005F44B6"/>
    <w:rsid w:val="005F5A20"/>
    <w:rsid w:val="005F6103"/>
    <w:rsid w:val="005F62F1"/>
    <w:rsid w:val="005F66DF"/>
    <w:rsid w:val="005F6A21"/>
    <w:rsid w:val="005F6A56"/>
    <w:rsid w:val="005F6E27"/>
    <w:rsid w:val="005F770D"/>
    <w:rsid w:val="00600717"/>
    <w:rsid w:val="00600C0B"/>
    <w:rsid w:val="00601B2E"/>
    <w:rsid w:val="0060239C"/>
    <w:rsid w:val="00602BF3"/>
    <w:rsid w:val="00603008"/>
    <w:rsid w:val="006030FF"/>
    <w:rsid w:val="006032D5"/>
    <w:rsid w:val="0060341D"/>
    <w:rsid w:val="00603BB7"/>
    <w:rsid w:val="00603C15"/>
    <w:rsid w:val="0060424A"/>
    <w:rsid w:val="006045B3"/>
    <w:rsid w:val="00605005"/>
    <w:rsid w:val="0060508E"/>
    <w:rsid w:val="00606314"/>
    <w:rsid w:val="00606401"/>
    <w:rsid w:val="00607634"/>
    <w:rsid w:val="0061086B"/>
    <w:rsid w:val="00610E14"/>
    <w:rsid w:val="0061121F"/>
    <w:rsid w:val="0061169C"/>
    <w:rsid w:val="00611BF8"/>
    <w:rsid w:val="00611E84"/>
    <w:rsid w:val="00612196"/>
    <w:rsid w:val="006127D1"/>
    <w:rsid w:val="00612870"/>
    <w:rsid w:val="00612CC0"/>
    <w:rsid w:val="0061393B"/>
    <w:rsid w:val="00614CF5"/>
    <w:rsid w:val="00615B37"/>
    <w:rsid w:val="00615C82"/>
    <w:rsid w:val="006161D9"/>
    <w:rsid w:val="00616907"/>
    <w:rsid w:val="00616C0A"/>
    <w:rsid w:val="006170CF"/>
    <w:rsid w:val="0061725C"/>
    <w:rsid w:val="0061728F"/>
    <w:rsid w:val="00617344"/>
    <w:rsid w:val="00617A46"/>
    <w:rsid w:val="00617E41"/>
    <w:rsid w:val="00617E76"/>
    <w:rsid w:val="00620C19"/>
    <w:rsid w:val="00621575"/>
    <w:rsid w:val="0062162B"/>
    <w:rsid w:val="00621917"/>
    <w:rsid w:val="0062199C"/>
    <w:rsid w:val="00623210"/>
    <w:rsid w:val="0062369E"/>
    <w:rsid w:val="006239D1"/>
    <w:rsid w:val="00623A7D"/>
    <w:rsid w:val="00624CF5"/>
    <w:rsid w:val="00625930"/>
    <w:rsid w:val="00625B67"/>
    <w:rsid w:val="006263D5"/>
    <w:rsid w:val="006266D5"/>
    <w:rsid w:val="00626BEC"/>
    <w:rsid w:val="00627FE7"/>
    <w:rsid w:val="00630559"/>
    <w:rsid w:val="00630665"/>
    <w:rsid w:val="006309B4"/>
    <w:rsid w:val="006310A0"/>
    <w:rsid w:val="00634122"/>
    <w:rsid w:val="006342DE"/>
    <w:rsid w:val="00634ED7"/>
    <w:rsid w:val="00635459"/>
    <w:rsid w:val="00635D12"/>
    <w:rsid w:val="00636A1E"/>
    <w:rsid w:val="00637453"/>
    <w:rsid w:val="00637ADE"/>
    <w:rsid w:val="00640476"/>
    <w:rsid w:val="0064085D"/>
    <w:rsid w:val="0064139F"/>
    <w:rsid w:val="00642575"/>
    <w:rsid w:val="006425A5"/>
    <w:rsid w:val="006426CE"/>
    <w:rsid w:val="00643430"/>
    <w:rsid w:val="00643DE6"/>
    <w:rsid w:val="00644475"/>
    <w:rsid w:val="00644496"/>
    <w:rsid w:val="00644903"/>
    <w:rsid w:val="00644CC4"/>
    <w:rsid w:val="00644E32"/>
    <w:rsid w:val="00645AEB"/>
    <w:rsid w:val="0064605C"/>
    <w:rsid w:val="00646D31"/>
    <w:rsid w:val="006500FB"/>
    <w:rsid w:val="006507D0"/>
    <w:rsid w:val="00651731"/>
    <w:rsid w:val="00651917"/>
    <w:rsid w:val="00651B88"/>
    <w:rsid w:val="00652ADC"/>
    <w:rsid w:val="00652D5E"/>
    <w:rsid w:val="006531F0"/>
    <w:rsid w:val="00653579"/>
    <w:rsid w:val="00654960"/>
    <w:rsid w:val="00654E1F"/>
    <w:rsid w:val="00655044"/>
    <w:rsid w:val="006554E0"/>
    <w:rsid w:val="00655C07"/>
    <w:rsid w:val="0065789D"/>
    <w:rsid w:val="00657A69"/>
    <w:rsid w:val="00660269"/>
    <w:rsid w:val="00660577"/>
    <w:rsid w:val="0066081B"/>
    <w:rsid w:val="00660848"/>
    <w:rsid w:val="0066144D"/>
    <w:rsid w:val="006628F2"/>
    <w:rsid w:val="00662C4F"/>
    <w:rsid w:val="0066355C"/>
    <w:rsid w:val="00663E18"/>
    <w:rsid w:val="00664CA7"/>
    <w:rsid w:val="00664D67"/>
    <w:rsid w:val="00664E56"/>
    <w:rsid w:val="0066600A"/>
    <w:rsid w:val="006669AF"/>
    <w:rsid w:val="00666AC4"/>
    <w:rsid w:val="0066740F"/>
    <w:rsid w:val="006676E7"/>
    <w:rsid w:val="00670455"/>
    <w:rsid w:val="006707C5"/>
    <w:rsid w:val="00671CE3"/>
    <w:rsid w:val="00671E7E"/>
    <w:rsid w:val="0067232A"/>
    <w:rsid w:val="00673194"/>
    <w:rsid w:val="006734E4"/>
    <w:rsid w:val="00673A4D"/>
    <w:rsid w:val="00673FC0"/>
    <w:rsid w:val="006743CE"/>
    <w:rsid w:val="00674738"/>
    <w:rsid w:val="0067521B"/>
    <w:rsid w:val="0067540B"/>
    <w:rsid w:val="006757BD"/>
    <w:rsid w:val="0067600C"/>
    <w:rsid w:val="0067679B"/>
    <w:rsid w:val="00676912"/>
    <w:rsid w:val="00676A73"/>
    <w:rsid w:val="00676FD9"/>
    <w:rsid w:val="006773B3"/>
    <w:rsid w:val="006779ED"/>
    <w:rsid w:val="00677CD4"/>
    <w:rsid w:val="00681C49"/>
    <w:rsid w:val="0068247B"/>
    <w:rsid w:val="00682A4C"/>
    <w:rsid w:val="00683495"/>
    <w:rsid w:val="00684A42"/>
    <w:rsid w:val="00684BAD"/>
    <w:rsid w:val="00684DF2"/>
    <w:rsid w:val="00685A38"/>
    <w:rsid w:val="00685E74"/>
    <w:rsid w:val="006860DC"/>
    <w:rsid w:val="006867A9"/>
    <w:rsid w:val="00686FB0"/>
    <w:rsid w:val="0068706A"/>
    <w:rsid w:val="00687254"/>
    <w:rsid w:val="0068776C"/>
    <w:rsid w:val="006878CB"/>
    <w:rsid w:val="0069004A"/>
    <w:rsid w:val="006905E3"/>
    <w:rsid w:val="0069062C"/>
    <w:rsid w:val="006916FE"/>
    <w:rsid w:val="00692C20"/>
    <w:rsid w:val="00692E65"/>
    <w:rsid w:val="006938CD"/>
    <w:rsid w:val="00693F20"/>
    <w:rsid w:val="006943E0"/>
    <w:rsid w:val="0069460B"/>
    <w:rsid w:val="006957BD"/>
    <w:rsid w:val="00695F9E"/>
    <w:rsid w:val="0069629F"/>
    <w:rsid w:val="006966F9"/>
    <w:rsid w:val="006973EA"/>
    <w:rsid w:val="006A10E4"/>
    <w:rsid w:val="006A174B"/>
    <w:rsid w:val="006A221F"/>
    <w:rsid w:val="006A3B59"/>
    <w:rsid w:val="006A48EA"/>
    <w:rsid w:val="006A49A8"/>
    <w:rsid w:val="006A49F9"/>
    <w:rsid w:val="006A4C0B"/>
    <w:rsid w:val="006A4F12"/>
    <w:rsid w:val="006A5282"/>
    <w:rsid w:val="006A5D01"/>
    <w:rsid w:val="006A638B"/>
    <w:rsid w:val="006A6CC8"/>
    <w:rsid w:val="006A6E8B"/>
    <w:rsid w:val="006A7603"/>
    <w:rsid w:val="006A7E05"/>
    <w:rsid w:val="006B0061"/>
    <w:rsid w:val="006B0477"/>
    <w:rsid w:val="006B0EDB"/>
    <w:rsid w:val="006B1228"/>
    <w:rsid w:val="006B123D"/>
    <w:rsid w:val="006B128B"/>
    <w:rsid w:val="006B12D2"/>
    <w:rsid w:val="006B1A16"/>
    <w:rsid w:val="006B2BB6"/>
    <w:rsid w:val="006B2CD3"/>
    <w:rsid w:val="006B36CB"/>
    <w:rsid w:val="006B377E"/>
    <w:rsid w:val="006B3928"/>
    <w:rsid w:val="006B39A5"/>
    <w:rsid w:val="006B3C43"/>
    <w:rsid w:val="006B41B1"/>
    <w:rsid w:val="006B467E"/>
    <w:rsid w:val="006C037E"/>
    <w:rsid w:val="006C1E9B"/>
    <w:rsid w:val="006C2140"/>
    <w:rsid w:val="006C267B"/>
    <w:rsid w:val="006C2D3E"/>
    <w:rsid w:val="006C5168"/>
    <w:rsid w:val="006C58C7"/>
    <w:rsid w:val="006D0976"/>
    <w:rsid w:val="006D0A25"/>
    <w:rsid w:val="006D1173"/>
    <w:rsid w:val="006D1221"/>
    <w:rsid w:val="006D1C17"/>
    <w:rsid w:val="006D1D56"/>
    <w:rsid w:val="006D2CC2"/>
    <w:rsid w:val="006D2D3F"/>
    <w:rsid w:val="006D3899"/>
    <w:rsid w:val="006D3C32"/>
    <w:rsid w:val="006D541B"/>
    <w:rsid w:val="006D5987"/>
    <w:rsid w:val="006D6B87"/>
    <w:rsid w:val="006D6E32"/>
    <w:rsid w:val="006D71C8"/>
    <w:rsid w:val="006E036B"/>
    <w:rsid w:val="006E0D74"/>
    <w:rsid w:val="006E46F6"/>
    <w:rsid w:val="006E4F26"/>
    <w:rsid w:val="006E6856"/>
    <w:rsid w:val="006E6FC3"/>
    <w:rsid w:val="006E749B"/>
    <w:rsid w:val="006E7571"/>
    <w:rsid w:val="006E7888"/>
    <w:rsid w:val="006E7F8E"/>
    <w:rsid w:val="006F18D7"/>
    <w:rsid w:val="006F1955"/>
    <w:rsid w:val="006F1B72"/>
    <w:rsid w:val="006F267D"/>
    <w:rsid w:val="006F2819"/>
    <w:rsid w:val="006F2C5C"/>
    <w:rsid w:val="006F3605"/>
    <w:rsid w:val="006F3670"/>
    <w:rsid w:val="006F4088"/>
    <w:rsid w:val="006F4251"/>
    <w:rsid w:val="006F453B"/>
    <w:rsid w:val="006F491E"/>
    <w:rsid w:val="006F5D06"/>
    <w:rsid w:val="006F5FDF"/>
    <w:rsid w:val="006F62EE"/>
    <w:rsid w:val="006F63BC"/>
    <w:rsid w:val="006F6595"/>
    <w:rsid w:val="006F6C57"/>
    <w:rsid w:val="006F7538"/>
    <w:rsid w:val="006F7A86"/>
    <w:rsid w:val="007001B7"/>
    <w:rsid w:val="00700450"/>
    <w:rsid w:val="00700568"/>
    <w:rsid w:val="0070072A"/>
    <w:rsid w:val="00701631"/>
    <w:rsid w:val="00702406"/>
    <w:rsid w:val="00702934"/>
    <w:rsid w:val="0070387D"/>
    <w:rsid w:val="007041EB"/>
    <w:rsid w:val="0070442B"/>
    <w:rsid w:val="007057A7"/>
    <w:rsid w:val="007061EB"/>
    <w:rsid w:val="00706CBB"/>
    <w:rsid w:val="0070725F"/>
    <w:rsid w:val="0070794A"/>
    <w:rsid w:val="00707A5D"/>
    <w:rsid w:val="0071044A"/>
    <w:rsid w:val="00710CE6"/>
    <w:rsid w:val="00710E6A"/>
    <w:rsid w:val="00711211"/>
    <w:rsid w:val="00711E45"/>
    <w:rsid w:val="00712095"/>
    <w:rsid w:val="007129F8"/>
    <w:rsid w:val="00713026"/>
    <w:rsid w:val="00713782"/>
    <w:rsid w:val="00713B6E"/>
    <w:rsid w:val="00713D88"/>
    <w:rsid w:val="00713F03"/>
    <w:rsid w:val="00714078"/>
    <w:rsid w:val="007143A2"/>
    <w:rsid w:val="007145D1"/>
    <w:rsid w:val="0071722A"/>
    <w:rsid w:val="00717390"/>
    <w:rsid w:val="00717B4E"/>
    <w:rsid w:val="00717FAE"/>
    <w:rsid w:val="00720658"/>
    <w:rsid w:val="00720CDA"/>
    <w:rsid w:val="007210A8"/>
    <w:rsid w:val="007214C6"/>
    <w:rsid w:val="00722827"/>
    <w:rsid w:val="0072295B"/>
    <w:rsid w:val="00723131"/>
    <w:rsid w:val="007235CB"/>
    <w:rsid w:val="00724A36"/>
    <w:rsid w:val="00724B02"/>
    <w:rsid w:val="0072500D"/>
    <w:rsid w:val="0072524F"/>
    <w:rsid w:val="0072527F"/>
    <w:rsid w:val="00725D62"/>
    <w:rsid w:val="00726758"/>
    <w:rsid w:val="00726B3C"/>
    <w:rsid w:val="00726DF3"/>
    <w:rsid w:val="00727436"/>
    <w:rsid w:val="007303DB"/>
    <w:rsid w:val="007305BC"/>
    <w:rsid w:val="0073091F"/>
    <w:rsid w:val="00731683"/>
    <w:rsid w:val="00731D2F"/>
    <w:rsid w:val="00731D9C"/>
    <w:rsid w:val="00731EBE"/>
    <w:rsid w:val="00732566"/>
    <w:rsid w:val="00732FE5"/>
    <w:rsid w:val="007330AD"/>
    <w:rsid w:val="00733810"/>
    <w:rsid w:val="00733A65"/>
    <w:rsid w:val="00735D87"/>
    <w:rsid w:val="0073640B"/>
    <w:rsid w:val="00736A37"/>
    <w:rsid w:val="00736F84"/>
    <w:rsid w:val="007370CB"/>
    <w:rsid w:val="00737871"/>
    <w:rsid w:val="00737AFC"/>
    <w:rsid w:val="00740BA0"/>
    <w:rsid w:val="0074117D"/>
    <w:rsid w:val="00741FE5"/>
    <w:rsid w:val="007427D1"/>
    <w:rsid w:val="00743753"/>
    <w:rsid w:val="00743DCC"/>
    <w:rsid w:val="00744472"/>
    <w:rsid w:val="00744CDA"/>
    <w:rsid w:val="00745645"/>
    <w:rsid w:val="00745F04"/>
    <w:rsid w:val="0074631E"/>
    <w:rsid w:val="00746518"/>
    <w:rsid w:val="00747F35"/>
    <w:rsid w:val="0075057A"/>
    <w:rsid w:val="007505D0"/>
    <w:rsid w:val="007508C5"/>
    <w:rsid w:val="00750E15"/>
    <w:rsid w:val="00751314"/>
    <w:rsid w:val="00751701"/>
    <w:rsid w:val="00751740"/>
    <w:rsid w:val="00751EA0"/>
    <w:rsid w:val="00752A2C"/>
    <w:rsid w:val="00752A5D"/>
    <w:rsid w:val="0075336D"/>
    <w:rsid w:val="007537D0"/>
    <w:rsid w:val="00753B53"/>
    <w:rsid w:val="00753DEC"/>
    <w:rsid w:val="00754FAA"/>
    <w:rsid w:val="0075544E"/>
    <w:rsid w:val="007557E8"/>
    <w:rsid w:val="00756CC9"/>
    <w:rsid w:val="00757233"/>
    <w:rsid w:val="00757434"/>
    <w:rsid w:val="0076042E"/>
    <w:rsid w:val="00760EE4"/>
    <w:rsid w:val="00761390"/>
    <w:rsid w:val="00762137"/>
    <w:rsid w:val="00762188"/>
    <w:rsid w:val="007624BB"/>
    <w:rsid w:val="00763498"/>
    <w:rsid w:val="0076355E"/>
    <w:rsid w:val="0076377C"/>
    <w:rsid w:val="00763AAC"/>
    <w:rsid w:val="00763D08"/>
    <w:rsid w:val="007645D7"/>
    <w:rsid w:val="007646F4"/>
    <w:rsid w:val="00764AC3"/>
    <w:rsid w:val="007654A1"/>
    <w:rsid w:val="00766278"/>
    <w:rsid w:val="00766AF0"/>
    <w:rsid w:val="00767459"/>
    <w:rsid w:val="00767C09"/>
    <w:rsid w:val="00767C10"/>
    <w:rsid w:val="00767E13"/>
    <w:rsid w:val="007700B8"/>
    <w:rsid w:val="0077014C"/>
    <w:rsid w:val="00770179"/>
    <w:rsid w:val="007703F5"/>
    <w:rsid w:val="007705E6"/>
    <w:rsid w:val="00770ECE"/>
    <w:rsid w:val="00770F7A"/>
    <w:rsid w:val="00771240"/>
    <w:rsid w:val="007718AA"/>
    <w:rsid w:val="007721A5"/>
    <w:rsid w:val="00774472"/>
    <w:rsid w:val="007744C7"/>
    <w:rsid w:val="007767B5"/>
    <w:rsid w:val="00776E1C"/>
    <w:rsid w:val="00780134"/>
    <w:rsid w:val="00780CDE"/>
    <w:rsid w:val="00781943"/>
    <w:rsid w:val="00781DA1"/>
    <w:rsid w:val="00781FC0"/>
    <w:rsid w:val="0078203C"/>
    <w:rsid w:val="00782244"/>
    <w:rsid w:val="00782CAF"/>
    <w:rsid w:val="00782CED"/>
    <w:rsid w:val="00782F35"/>
    <w:rsid w:val="00782FBE"/>
    <w:rsid w:val="007838B4"/>
    <w:rsid w:val="00783D1D"/>
    <w:rsid w:val="00783E8E"/>
    <w:rsid w:val="00784E1F"/>
    <w:rsid w:val="00784EDC"/>
    <w:rsid w:val="0078554A"/>
    <w:rsid w:val="0078559D"/>
    <w:rsid w:val="00786E77"/>
    <w:rsid w:val="00787543"/>
    <w:rsid w:val="00787650"/>
    <w:rsid w:val="007876A6"/>
    <w:rsid w:val="00787855"/>
    <w:rsid w:val="00790BE9"/>
    <w:rsid w:val="0079182A"/>
    <w:rsid w:val="00792240"/>
    <w:rsid w:val="0079339F"/>
    <w:rsid w:val="00793523"/>
    <w:rsid w:val="007938A1"/>
    <w:rsid w:val="00793FD8"/>
    <w:rsid w:val="007951EE"/>
    <w:rsid w:val="00795DA6"/>
    <w:rsid w:val="00796913"/>
    <w:rsid w:val="00796DC7"/>
    <w:rsid w:val="00797A4E"/>
    <w:rsid w:val="00797A9C"/>
    <w:rsid w:val="007A0992"/>
    <w:rsid w:val="007A107D"/>
    <w:rsid w:val="007A149B"/>
    <w:rsid w:val="007A1781"/>
    <w:rsid w:val="007A214F"/>
    <w:rsid w:val="007A41A0"/>
    <w:rsid w:val="007A484A"/>
    <w:rsid w:val="007A4B0A"/>
    <w:rsid w:val="007A4CB2"/>
    <w:rsid w:val="007A5069"/>
    <w:rsid w:val="007A52F1"/>
    <w:rsid w:val="007A58B7"/>
    <w:rsid w:val="007A5C58"/>
    <w:rsid w:val="007A62CC"/>
    <w:rsid w:val="007A6863"/>
    <w:rsid w:val="007A6BC7"/>
    <w:rsid w:val="007A72DD"/>
    <w:rsid w:val="007A73B5"/>
    <w:rsid w:val="007A7437"/>
    <w:rsid w:val="007B0DE3"/>
    <w:rsid w:val="007B280F"/>
    <w:rsid w:val="007B2ABA"/>
    <w:rsid w:val="007B2CF1"/>
    <w:rsid w:val="007B3946"/>
    <w:rsid w:val="007B4553"/>
    <w:rsid w:val="007B5E74"/>
    <w:rsid w:val="007B5FBE"/>
    <w:rsid w:val="007B696D"/>
    <w:rsid w:val="007B6BC3"/>
    <w:rsid w:val="007B701F"/>
    <w:rsid w:val="007B7054"/>
    <w:rsid w:val="007C0D38"/>
    <w:rsid w:val="007C16D8"/>
    <w:rsid w:val="007C1940"/>
    <w:rsid w:val="007C2442"/>
    <w:rsid w:val="007C2989"/>
    <w:rsid w:val="007C2C9A"/>
    <w:rsid w:val="007C3777"/>
    <w:rsid w:val="007C47E9"/>
    <w:rsid w:val="007C4D08"/>
    <w:rsid w:val="007C4EE8"/>
    <w:rsid w:val="007C61AE"/>
    <w:rsid w:val="007C6546"/>
    <w:rsid w:val="007C6D41"/>
    <w:rsid w:val="007C7D37"/>
    <w:rsid w:val="007D01D6"/>
    <w:rsid w:val="007D2240"/>
    <w:rsid w:val="007D2288"/>
    <w:rsid w:val="007D23CB"/>
    <w:rsid w:val="007D2A26"/>
    <w:rsid w:val="007D2B67"/>
    <w:rsid w:val="007D307F"/>
    <w:rsid w:val="007D30F4"/>
    <w:rsid w:val="007D31F0"/>
    <w:rsid w:val="007D40BE"/>
    <w:rsid w:val="007D44AF"/>
    <w:rsid w:val="007D4C02"/>
    <w:rsid w:val="007D5109"/>
    <w:rsid w:val="007D542E"/>
    <w:rsid w:val="007D5B03"/>
    <w:rsid w:val="007D5C7D"/>
    <w:rsid w:val="007D6534"/>
    <w:rsid w:val="007D67E7"/>
    <w:rsid w:val="007D6827"/>
    <w:rsid w:val="007D6C24"/>
    <w:rsid w:val="007D6E7E"/>
    <w:rsid w:val="007D75F8"/>
    <w:rsid w:val="007E099F"/>
    <w:rsid w:val="007E0CBB"/>
    <w:rsid w:val="007E16F6"/>
    <w:rsid w:val="007E1997"/>
    <w:rsid w:val="007E1A6B"/>
    <w:rsid w:val="007E1EF6"/>
    <w:rsid w:val="007E2921"/>
    <w:rsid w:val="007E2E5F"/>
    <w:rsid w:val="007E3A67"/>
    <w:rsid w:val="007E3C0D"/>
    <w:rsid w:val="007E40BC"/>
    <w:rsid w:val="007E4F30"/>
    <w:rsid w:val="007E55C8"/>
    <w:rsid w:val="007E7244"/>
    <w:rsid w:val="007E7980"/>
    <w:rsid w:val="007E7EF6"/>
    <w:rsid w:val="007F0CF6"/>
    <w:rsid w:val="007F1401"/>
    <w:rsid w:val="007F23B3"/>
    <w:rsid w:val="007F27C6"/>
    <w:rsid w:val="007F2FF3"/>
    <w:rsid w:val="007F3D34"/>
    <w:rsid w:val="007F3D45"/>
    <w:rsid w:val="007F3DE3"/>
    <w:rsid w:val="007F4D2F"/>
    <w:rsid w:val="007F5B25"/>
    <w:rsid w:val="007F61AF"/>
    <w:rsid w:val="007F657B"/>
    <w:rsid w:val="007F6DDA"/>
    <w:rsid w:val="008001A4"/>
    <w:rsid w:val="008004B7"/>
    <w:rsid w:val="00800D70"/>
    <w:rsid w:val="00801296"/>
    <w:rsid w:val="008026ED"/>
    <w:rsid w:val="00802EB2"/>
    <w:rsid w:val="0080318B"/>
    <w:rsid w:val="00803206"/>
    <w:rsid w:val="008041EF"/>
    <w:rsid w:val="008056CA"/>
    <w:rsid w:val="00805F8B"/>
    <w:rsid w:val="00807BE5"/>
    <w:rsid w:val="00807D98"/>
    <w:rsid w:val="0081014E"/>
    <w:rsid w:val="00810176"/>
    <w:rsid w:val="008102C5"/>
    <w:rsid w:val="00810E7B"/>
    <w:rsid w:val="0081117E"/>
    <w:rsid w:val="00812124"/>
    <w:rsid w:val="008121B8"/>
    <w:rsid w:val="00812827"/>
    <w:rsid w:val="008138CB"/>
    <w:rsid w:val="00815667"/>
    <w:rsid w:val="00816112"/>
    <w:rsid w:val="008161A5"/>
    <w:rsid w:val="00816419"/>
    <w:rsid w:val="00816A2E"/>
    <w:rsid w:val="00816BA0"/>
    <w:rsid w:val="008172EB"/>
    <w:rsid w:val="00817A6D"/>
    <w:rsid w:val="00820453"/>
    <w:rsid w:val="00821FEF"/>
    <w:rsid w:val="00822186"/>
    <w:rsid w:val="00822BC6"/>
    <w:rsid w:val="00822E39"/>
    <w:rsid w:val="008239D6"/>
    <w:rsid w:val="00823B09"/>
    <w:rsid w:val="00824D4A"/>
    <w:rsid w:val="00825184"/>
    <w:rsid w:val="00825AC3"/>
    <w:rsid w:val="00825B4B"/>
    <w:rsid w:val="00825BF5"/>
    <w:rsid w:val="00826737"/>
    <w:rsid w:val="00830B05"/>
    <w:rsid w:val="00830E36"/>
    <w:rsid w:val="0083100A"/>
    <w:rsid w:val="008310AF"/>
    <w:rsid w:val="00831584"/>
    <w:rsid w:val="00832CBF"/>
    <w:rsid w:val="0083353D"/>
    <w:rsid w:val="00833610"/>
    <w:rsid w:val="0083470C"/>
    <w:rsid w:val="00834B27"/>
    <w:rsid w:val="00834B8D"/>
    <w:rsid w:val="00834CF6"/>
    <w:rsid w:val="00835010"/>
    <w:rsid w:val="00835596"/>
    <w:rsid w:val="00837062"/>
    <w:rsid w:val="00837198"/>
    <w:rsid w:val="008371AE"/>
    <w:rsid w:val="00837794"/>
    <w:rsid w:val="00837C83"/>
    <w:rsid w:val="00837EDB"/>
    <w:rsid w:val="00841446"/>
    <w:rsid w:val="008420E6"/>
    <w:rsid w:val="00842163"/>
    <w:rsid w:val="0084303C"/>
    <w:rsid w:val="00843F1B"/>
    <w:rsid w:val="0084409C"/>
    <w:rsid w:val="0084451F"/>
    <w:rsid w:val="008456DB"/>
    <w:rsid w:val="0084705D"/>
    <w:rsid w:val="008504C5"/>
    <w:rsid w:val="00850F82"/>
    <w:rsid w:val="00851C01"/>
    <w:rsid w:val="0085282F"/>
    <w:rsid w:val="00852B2B"/>
    <w:rsid w:val="00852D57"/>
    <w:rsid w:val="0085367F"/>
    <w:rsid w:val="00853D5C"/>
    <w:rsid w:val="00853E58"/>
    <w:rsid w:val="0085441D"/>
    <w:rsid w:val="008545B3"/>
    <w:rsid w:val="008549E3"/>
    <w:rsid w:val="0085524E"/>
    <w:rsid w:val="00855662"/>
    <w:rsid w:val="0085632B"/>
    <w:rsid w:val="00856404"/>
    <w:rsid w:val="00856690"/>
    <w:rsid w:val="008567B9"/>
    <w:rsid w:val="008574DF"/>
    <w:rsid w:val="00860741"/>
    <w:rsid w:val="0086115B"/>
    <w:rsid w:val="008616CB"/>
    <w:rsid w:val="00862A09"/>
    <w:rsid w:val="00862C17"/>
    <w:rsid w:val="008635A6"/>
    <w:rsid w:val="008637E2"/>
    <w:rsid w:val="008639C8"/>
    <w:rsid w:val="00863AEB"/>
    <w:rsid w:val="008641A1"/>
    <w:rsid w:val="00864A79"/>
    <w:rsid w:val="008653BE"/>
    <w:rsid w:val="008657EB"/>
    <w:rsid w:val="00865900"/>
    <w:rsid w:val="00866B58"/>
    <w:rsid w:val="00866E48"/>
    <w:rsid w:val="00870925"/>
    <w:rsid w:val="00870932"/>
    <w:rsid w:val="00870D48"/>
    <w:rsid w:val="00871320"/>
    <w:rsid w:val="00871438"/>
    <w:rsid w:val="00871E78"/>
    <w:rsid w:val="0087222E"/>
    <w:rsid w:val="0087306E"/>
    <w:rsid w:val="0087381B"/>
    <w:rsid w:val="00874113"/>
    <w:rsid w:val="008744C2"/>
    <w:rsid w:val="008749EB"/>
    <w:rsid w:val="00874E76"/>
    <w:rsid w:val="00875A1B"/>
    <w:rsid w:val="00875CC7"/>
    <w:rsid w:val="00876447"/>
    <w:rsid w:val="00876453"/>
    <w:rsid w:val="0087784D"/>
    <w:rsid w:val="00880043"/>
    <w:rsid w:val="008802C0"/>
    <w:rsid w:val="00880ED6"/>
    <w:rsid w:val="008811D5"/>
    <w:rsid w:val="00881BEA"/>
    <w:rsid w:val="00881EB5"/>
    <w:rsid w:val="0088279E"/>
    <w:rsid w:val="00882A1E"/>
    <w:rsid w:val="00882D0E"/>
    <w:rsid w:val="008835A2"/>
    <w:rsid w:val="00883B6E"/>
    <w:rsid w:val="008848BD"/>
    <w:rsid w:val="00884D2D"/>
    <w:rsid w:val="008854F7"/>
    <w:rsid w:val="008856CF"/>
    <w:rsid w:val="0088597C"/>
    <w:rsid w:val="0088620A"/>
    <w:rsid w:val="00887133"/>
    <w:rsid w:val="00887E5F"/>
    <w:rsid w:val="00890028"/>
    <w:rsid w:val="00890979"/>
    <w:rsid w:val="00890E74"/>
    <w:rsid w:val="00892231"/>
    <w:rsid w:val="00892514"/>
    <w:rsid w:val="00892724"/>
    <w:rsid w:val="00892F9C"/>
    <w:rsid w:val="00893B7C"/>
    <w:rsid w:val="008946B9"/>
    <w:rsid w:val="00894A37"/>
    <w:rsid w:val="00894D4A"/>
    <w:rsid w:val="00894D9E"/>
    <w:rsid w:val="00894F2B"/>
    <w:rsid w:val="008971B0"/>
    <w:rsid w:val="008971C8"/>
    <w:rsid w:val="008976C6"/>
    <w:rsid w:val="00897B7D"/>
    <w:rsid w:val="00897EC2"/>
    <w:rsid w:val="008A0389"/>
    <w:rsid w:val="008A049E"/>
    <w:rsid w:val="008A1493"/>
    <w:rsid w:val="008A14AE"/>
    <w:rsid w:val="008A14CA"/>
    <w:rsid w:val="008A1BED"/>
    <w:rsid w:val="008A21A3"/>
    <w:rsid w:val="008A3189"/>
    <w:rsid w:val="008A340D"/>
    <w:rsid w:val="008A5B3F"/>
    <w:rsid w:val="008A6B00"/>
    <w:rsid w:val="008A700A"/>
    <w:rsid w:val="008A7672"/>
    <w:rsid w:val="008B0723"/>
    <w:rsid w:val="008B09D8"/>
    <w:rsid w:val="008B0A27"/>
    <w:rsid w:val="008B1EBB"/>
    <w:rsid w:val="008B3BE4"/>
    <w:rsid w:val="008B619D"/>
    <w:rsid w:val="008B6546"/>
    <w:rsid w:val="008B68DC"/>
    <w:rsid w:val="008B6980"/>
    <w:rsid w:val="008B7115"/>
    <w:rsid w:val="008B7CF1"/>
    <w:rsid w:val="008C1C6C"/>
    <w:rsid w:val="008C1D9D"/>
    <w:rsid w:val="008C1DC6"/>
    <w:rsid w:val="008C25CF"/>
    <w:rsid w:val="008C3B93"/>
    <w:rsid w:val="008C4693"/>
    <w:rsid w:val="008C46A9"/>
    <w:rsid w:val="008C472D"/>
    <w:rsid w:val="008C47D8"/>
    <w:rsid w:val="008C595A"/>
    <w:rsid w:val="008C6226"/>
    <w:rsid w:val="008C68A8"/>
    <w:rsid w:val="008C7269"/>
    <w:rsid w:val="008C7F18"/>
    <w:rsid w:val="008D090B"/>
    <w:rsid w:val="008D1616"/>
    <w:rsid w:val="008D2194"/>
    <w:rsid w:val="008D2A05"/>
    <w:rsid w:val="008D2C22"/>
    <w:rsid w:val="008D3219"/>
    <w:rsid w:val="008D42FC"/>
    <w:rsid w:val="008D4758"/>
    <w:rsid w:val="008D4A4E"/>
    <w:rsid w:val="008D52EE"/>
    <w:rsid w:val="008D5626"/>
    <w:rsid w:val="008D660F"/>
    <w:rsid w:val="008D67FD"/>
    <w:rsid w:val="008D6CF7"/>
    <w:rsid w:val="008E02B4"/>
    <w:rsid w:val="008E0461"/>
    <w:rsid w:val="008E1A96"/>
    <w:rsid w:val="008E21F6"/>
    <w:rsid w:val="008E2B48"/>
    <w:rsid w:val="008E2BC0"/>
    <w:rsid w:val="008E3519"/>
    <w:rsid w:val="008E3962"/>
    <w:rsid w:val="008E3F76"/>
    <w:rsid w:val="008E3F8D"/>
    <w:rsid w:val="008E4239"/>
    <w:rsid w:val="008E4838"/>
    <w:rsid w:val="008E4BBF"/>
    <w:rsid w:val="008E4D66"/>
    <w:rsid w:val="008E5601"/>
    <w:rsid w:val="008E5621"/>
    <w:rsid w:val="008E7241"/>
    <w:rsid w:val="008E759C"/>
    <w:rsid w:val="008E79F7"/>
    <w:rsid w:val="008E7D03"/>
    <w:rsid w:val="008E7D8B"/>
    <w:rsid w:val="008F0D59"/>
    <w:rsid w:val="008F0FDB"/>
    <w:rsid w:val="008F1D2B"/>
    <w:rsid w:val="008F20D2"/>
    <w:rsid w:val="008F3071"/>
    <w:rsid w:val="008F3946"/>
    <w:rsid w:val="008F44F6"/>
    <w:rsid w:val="008F4A76"/>
    <w:rsid w:val="008F4BA6"/>
    <w:rsid w:val="008F4EAB"/>
    <w:rsid w:val="008F4F11"/>
    <w:rsid w:val="008F500E"/>
    <w:rsid w:val="008F54B6"/>
    <w:rsid w:val="008F557C"/>
    <w:rsid w:val="008F72A4"/>
    <w:rsid w:val="008F7EDC"/>
    <w:rsid w:val="0090018E"/>
    <w:rsid w:val="009008C6"/>
    <w:rsid w:val="009016C2"/>
    <w:rsid w:val="00901EBC"/>
    <w:rsid w:val="00902782"/>
    <w:rsid w:val="0090289D"/>
    <w:rsid w:val="00902C8B"/>
    <w:rsid w:val="0090494E"/>
    <w:rsid w:val="009053D9"/>
    <w:rsid w:val="0090570A"/>
    <w:rsid w:val="00905B0B"/>
    <w:rsid w:val="00905B2C"/>
    <w:rsid w:val="00905BEF"/>
    <w:rsid w:val="00906ED2"/>
    <w:rsid w:val="009072DC"/>
    <w:rsid w:val="009075F0"/>
    <w:rsid w:val="00907AF1"/>
    <w:rsid w:val="00907CB2"/>
    <w:rsid w:val="0091016E"/>
    <w:rsid w:val="0091021A"/>
    <w:rsid w:val="00910231"/>
    <w:rsid w:val="009105A6"/>
    <w:rsid w:val="0091071F"/>
    <w:rsid w:val="00910B39"/>
    <w:rsid w:val="00912375"/>
    <w:rsid w:val="009126C6"/>
    <w:rsid w:val="009129A4"/>
    <w:rsid w:val="00913095"/>
    <w:rsid w:val="00913F1B"/>
    <w:rsid w:val="00914837"/>
    <w:rsid w:val="00915481"/>
    <w:rsid w:val="00916306"/>
    <w:rsid w:val="009167A8"/>
    <w:rsid w:val="00916A08"/>
    <w:rsid w:val="00916ACD"/>
    <w:rsid w:val="009177AC"/>
    <w:rsid w:val="00917D8E"/>
    <w:rsid w:val="00917FD3"/>
    <w:rsid w:val="009203C9"/>
    <w:rsid w:val="00920816"/>
    <w:rsid w:val="00921317"/>
    <w:rsid w:val="00921DFC"/>
    <w:rsid w:val="00922A6E"/>
    <w:rsid w:val="00922AC5"/>
    <w:rsid w:val="00923251"/>
    <w:rsid w:val="009238DF"/>
    <w:rsid w:val="00923B16"/>
    <w:rsid w:val="00923CBD"/>
    <w:rsid w:val="00924C21"/>
    <w:rsid w:val="00924FC5"/>
    <w:rsid w:val="00925386"/>
    <w:rsid w:val="00925B14"/>
    <w:rsid w:val="00925D27"/>
    <w:rsid w:val="009260AB"/>
    <w:rsid w:val="009262AF"/>
    <w:rsid w:val="00926817"/>
    <w:rsid w:val="00926A74"/>
    <w:rsid w:val="00926EF1"/>
    <w:rsid w:val="00927630"/>
    <w:rsid w:val="00927953"/>
    <w:rsid w:val="00927FF0"/>
    <w:rsid w:val="0093044A"/>
    <w:rsid w:val="009314EE"/>
    <w:rsid w:val="00931912"/>
    <w:rsid w:val="00931B48"/>
    <w:rsid w:val="0093339A"/>
    <w:rsid w:val="00933568"/>
    <w:rsid w:val="00933C7D"/>
    <w:rsid w:val="00933CF6"/>
    <w:rsid w:val="00934611"/>
    <w:rsid w:val="00935477"/>
    <w:rsid w:val="00935BA5"/>
    <w:rsid w:val="00935C29"/>
    <w:rsid w:val="00935F2D"/>
    <w:rsid w:val="009360DC"/>
    <w:rsid w:val="00937D2E"/>
    <w:rsid w:val="00937EFC"/>
    <w:rsid w:val="009405B4"/>
    <w:rsid w:val="009406D4"/>
    <w:rsid w:val="00940C8F"/>
    <w:rsid w:val="009419F9"/>
    <w:rsid w:val="00941BE3"/>
    <w:rsid w:val="009421B0"/>
    <w:rsid w:val="00942F0F"/>
    <w:rsid w:val="009430E2"/>
    <w:rsid w:val="009432AF"/>
    <w:rsid w:val="00943BCB"/>
    <w:rsid w:val="00943C51"/>
    <w:rsid w:val="00943FFD"/>
    <w:rsid w:val="00944447"/>
    <w:rsid w:val="009449F8"/>
    <w:rsid w:val="00944A11"/>
    <w:rsid w:val="00945FE6"/>
    <w:rsid w:val="00946082"/>
    <w:rsid w:val="00946159"/>
    <w:rsid w:val="00946225"/>
    <w:rsid w:val="00946BBF"/>
    <w:rsid w:val="00947465"/>
    <w:rsid w:val="00947944"/>
    <w:rsid w:val="00947A82"/>
    <w:rsid w:val="00947ED2"/>
    <w:rsid w:val="00951178"/>
    <w:rsid w:val="009512A1"/>
    <w:rsid w:val="00952343"/>
    <w:rsid w:val="00952D5F"/>
    <w:rsid w:val="00953DD6"/>
    <w:rsid w:val="0095443B"/>
    <w:rsid w:val="00955A99"/>
    <w:rsid w:val="00955C0E"/>
    <w:rsid w:val="00956089"/>
    <w:rsid w:val="00956654"/>
    <w:rsid w:val="00956D39"/>
    <w:rsid w:val="00957C3A"/>
    <w:rsid w:val="00960615"/>
    <w:rsid w:val="00961452"/>
    <w:rsid w:val="00962342"/>
    <w:rsid w:val="009629E6"/>
    <w:rsid w:val="00963F48"/>
    <w:rsid w:val="0096446E"/>
    <w:rsid w:val="00964C3C"/>
    <w:rsid w:val="00966AEC"/>
    <w:rsid w:val="00970507"/>
    <w:rsid w:val="00970698"/>
    <w:rsid w:val="0097110D"/>
    <w:rsid w:val="00971331"/>
    <w:rsid w:val="00971516"/>
    <w:rsid w:val="00972609"/>
    <w:rsid w:val="00972AED"/>
    <w:rsid w:val="0097309C"/>
    <w:rsid w:val="0097325F"/>
    <w:rsid w:val="0097398A"/>
    <w:rsid w:val="00974212"/>
    <w:rsid w:val="009743AF"/>
    <w:rsid w:val="0097497C"/>
    <w:rsid w:val="00975E15"/>
    <w:rsid w:val="009761E3"/>
    <w:rsid w:val="00976EB9"/>
    <w:rsid w:val="0097764F"/>
    <w:rsid w:val="00977D45"/>
    <w:rsid w:val="00980067"/>
    <w:rsid w:val="00981E74"/>
    <w:rsid w:val="00982046"/>
    <w:rsid w:val="009829B2"/>
    <w:rsid w:val="00983133"/>
    <w:rsid w:val="0098330D"/>
    <w:rsid w:val="00983349"/>
    <w:rsid w:val="009840AD"/>
    <w:rsid w:val="009844BA"/>
    <w:rsid w:val="0098555A"/>
    <w:rsid w:val="00986082"/>
    <w:rsid w:val="00986FCD"/>
    <w:rsid w:val="00990B49"/>
    <w:rsid w:val="00991599"/>
    <w:rsid w:val="00991617"/>
    <w:rsid w:val="0099226F"/>
    <w:rsid w:val="009925BA"/>
    <w:rsid w:val="00993FB2"/>
    <w:rsid w:val="009952B3"/>
    <w:rsid w:val="00995574"/>
    <w:rsid w:val="009959D0"/>
    <w:rsid w:val="00995B79"/>
    <w:rsid w:val="00995CAA"/>
    <w:rsid w:val="009967A0"/>
    <w:rsid w:val="009969FA"/>
    <w:rsid w:val="00996F8D"/>
    <w:rsid w:val="0099775F"/>
    <w:rsid w:val="00997BA4"/>
    <w:rsid w:val="009A00F0"/>
    <w:rsid w:val="009A038B"/>
    <w:rsid w:val="009A1719"/>
    <w:rsid w:val="009A188F"/>
    <w:rsid w:val="009A1960"/>
    <w:rsid w:val="009A3128"/>
    <w:rsid w:val="009A38BF"/>
    <w:rsid w:val="009A3DE0"/>
    <w:rsid w:val="009A59BD"/>
    <w:rsid w:val="009A5CAC"/>
    <w:rsid w:val="009A60B2"/>
    <w:rsid w:val="009A6120"/>
    <w:rsid w:val="009A75AB"/>
    <w:rsid w:val="009A792D"/>
    <w:rsid w:val="009A7C11"/>
    <w:rsid w:val="009B1524"/>
    <w:rsid w:val="009B1D33"/>
    <w:rsid w:val="009B227E"/>
    <w:rsid w:val="009B261B"/>
    <w:rsid w:val="009B28B7"/>
    <w:rsid w:val="009B3FAF"/>
    <w:rsid w:val="009B46A2"/>
    <w:rsid w:val="009B54EA"/>
    <w:rsid w:val="009B5501"/>
    <w:rsid w:val="009B69BA"/>
    <w:rsid w:val="009B73DF"/>
    <w:rsid w:val="009B7642"/>
    <w:rsid w:val="009B794D"/>
    <w:rsid w:val="009B7A2A"/>
    <w:rsid w:val="009B7E1A"/>
    <w:rsid w:val="009C1BBF"/>
    <w:rsid w:val="009C2A87"/>
    <w:rsid w:val="009C2CAB"/>
    <w:rsid w:val="009C4361"/>
    <w:rsid w:val="009C48C2"/>
    <w:rsid w:val="009C5033"/>
    <w:rsid w:val="009C5102"/>
    <w:rsid w:val="009C57F8"/>
    <w:rsid w:val="009C5DAC"/>
    <w:rsid w:val="009C5E03"/>
    <w:rsid w:val="009C7C56"/>
    <w:rsid w:val="009D078A"/>
    <w:rsid w:val="009D1F1C"/>
    <w:rsid w:val="009D38BB"/>
    <w:rsid w:val="009D3B91"/>
    <w:rsid w:val="009D52AF"/>
    <w:rsid w:val="009D6313"/>
    <w:rsid w:val="009D66E0"/>
    <w:rsid w:val="009D7594"/>
    <w:rsid w:val="009D7637"/>
    <w:rsid w:val="009D784B"/>
    <w:rsid w:val="009E008A"/>
    <w:rsid w:val="009E0B06"/>
    <w:rsid w:val="009E16D2"/>
    <w:rsid w:val="009E1BEE"/>
    <w:rsid w:val="009E1C08"/>
    <w:rsid w:val="009E282F"/>
    <w:rsid w:val="009E2F1E"/>
    <w:rsid w:val="009E3208"/>
    <w:rsid w:val="009E363D"/>
    <w:rsid w:val="009E3CF1"/>
    <w:rsid w:val="009E3D6B"/>
    <w:rsid w:val="009E4137"/>
    <w:rsid w:val="009E4E5B"/>
    <w:rsid w:val="009E4E95"/>
    <w:rsid w:val="009E5786"/>
    <w:rsid w:val="009E579F"/>
    <w:rsid w:val="009E5ACB"/>
    <w:rsid w:val="009E5E49"/>
    <w:rsid w:val="009E6518"/>
    <w:rsid w:val="009F0130"/>
    <w:rsid w:val="009F1184"/>
    <w:rsid w:val="009F169F"/>
    <w:rsid w:val="009F1B8B"/>
    <w:rsid w:val="009F1E03"/>
    <w:rsid w:val="009F20B1"/>
    <w:rsid w:val="009F282F"/>
    <w:rsid w:val="009F2DBE"/>
    <w:rsid w:val="009F354C"/>
    <w:rsid w:val="009F3825"/>
    <w:rsid w:val="009F3B7F"/>
    <w:rsid w:val="009F4CC2"/>
    <w:rsid w:val="009F4F16"/>
    <w:rsid w:val="009F60AE"/>
    <w:rsid w:val="00A0017E"/>
    <w:rsid w:val="00A013AB"/>
    <w:rsid w:val="00A01ACE"/>
    <w:rsid w:val="00A0248C"/>
    <w:rsid w:val="00A02F19"/>
    <w:rsid w:val="00A03D7A"/>
    <w:rsid w:val="00A04080"/>
    <w:rsid w:val="00A04225"/>
    <w:rsid w:val="00A05EFF"/>
    <w:rsid w:val="00A0723C"/>
    <w:rsid w:val="00A07D79"/>
    <w:rsid w:val="00A10159"/>
    <w:rsid w:val="00A10461"/>
    <w:rsid w:val="00A10893"/>
    <w:rsid w:val="00A1123C"/>
    <w:rsid w:val="00A11A16"/>
    <w:rsid w:val="00A12681"/>
    <w:rsid w:val="00A12FD1"/>
    <w:rsid w:val="00A130CE"/>
    <w:rsid w:val="00A133B0"/>
    <w:rsid w:val="00A13997"/>
    <w:rsid w:val="00A13AA6"/>
    <w:rsid w:val="00A13D6E"/>
    <w:rsid w:val="00A143DD"/>
    <w:rsid w:val="00A14609"/>
    <w:rsid w:val="00A14A1C"/>
    <w:rsid w:val="00A1585F"/>
    <w:rsid w:val="00A15E7E"/>
    <w:rsid w:val="00A20A21"/>
    <w:rsid w:val="00A21141"/>
    <w:rsid w:val="00A218D1"/>
    <w:rsid w:val="00A22005"/>
    <w:rsid w:val="00A22201"/>
    <w:rsid w:val="00A22B8B"/>
    <w:rsid w:val="00A23508"/>
    <w:rsid w:val="00A242EF"/>
    <w:rsid w:val="00A24797"/>
    <w:rsid w:val="00A24B68"/>
    <w:rsid w:val="00A24E52"/>
    <w:rsid w:val="00A2561D"/>
    <w:rsid w:val="00A25AE2"/>
    <w:rsid w:val="00A26A82"/>
    <w:rsid w:val="00A27259"/>
    <w:rsid w:val="00A27A44"/>
    <w:rsid w:val="00A27FB7"/>
    <w:rsid w:val="00A30869"/>
    <w:rsid w:val="00A309DF"/>
    <w:rsid w:val="00A3155B"/>
    <w:rsid w:val="00A32E51"/>
    <w:rsid w:val="00A337BA"/>
    <w:rsid w:val="00A360E2"/>
    <w:rsid w:val="00A36AB2"/>
    <w:rsid w:val="00A374C3"/>
    <w:rsid w:val="00A37658"/>
    <w:rsid w:val="00A37783"/>
    <w:rsid w:val="00A40B96"/>
    <w:rsid w:val="00A4114E"/>
    <w:rsid w:val="00A415F3"/>
    <w:rsid w:val="00A41628"/>
    <w:rsid w:val="00A416A3"/>
    <w:rsid w:val="00A420D8"/>
    <w:rsid w:val="00A421D5"/>
    <w:rsid w:val="00A42483"/>
    <w:rsid w:val="00A42F32"/>
    <w:rsid w:val="00A45D3B"/>
    <w:rsid w:val="00A462A1"/>
    <w:rsid w:val="00A4684C"/>
    <w:rsid w:val="00A46B2E"/>
    <w:rsid w:val="00A46E6A"/>
    <w:rsid w:val="00A46E95"/>
    <w:rsid w:val="00A47059"/>
    <w:rsid w:val="00A47130"/>
    <w:rsid w:val="00A477CD"/>
    <w:rsid w:val="00A50317"/>
    <w:rsid w:val="00A504EA"/>
    <w:rsid w:val="00A50B2F"/>
    <w:rsid w:val="00A518B4"/>
    <w:rsid w:val="00A52247"/>
    <w:rsid w:val="00A5241A"/>
    <w:rsid w:val="00A52440"/>
    <w:rsid w:val="00A52AEE"/>
    <w:rsid w:val="00A53D9B"/>
    <w:rsid w:val="00A54306"/>
    <w:rsid w:val="00A54473"/>
    <w:rsid w:val="00A54750"/>
    <w:rsid w:val="00A54879"/>
    <w:rsid w:val="00A54B89"/>
    <w:rsid w:val="00A54C0C"/>
    <w:rsid w:val="00A57057"/>
    <w:rsid w:val="00A57D88"/>
    <w:rsid w:val="00A60515"/>
    <w:rsid w:val="00A6061E"/>
    <w:rsid w:val="00A60B3D"/>
    <w:rsid w:val="00A61D40"/>
    <w:rsid w:val="00A61EDC"/>
    <w:rsid w:val="00A61FAF"/>
    <w:rsid w:val="00A637B9"/>
    <w:rsid w:val="00A63812"/>
    <w:rsid w:val="00A63CF4"/>
    <w:rsid w:val="00A647F9"/>
    <w:rsid w:val="00A66E97"/>
    <w:rsid w:val="00A66FE0"/>
    <w:rsid w:val="00A67305"/>
    <w:rsid w:val="00A72A1B"/>
    <w:rsid w:val="00A730AC"/>
    <w:rsid w:val="00A7360C"/>
    <w:rsid w:val="00A737CF"/>
    <w:rsid w:val="00A74348"/>
    <w:rsid w:val="00A74B3E"/>
    <w:rsid w:val="00A75AA2"/>
    <w:rsid w:val="00A765A9"/>
    <w:rsid w:val="00A7785C"/>
    <w:rsid w:val="00A77AC6"/>
    <w:rsid w:val="00A801A1"/>
    <w:rsid w:val="00A80CEA"/>
    <w:rsid w:val="00A82066"/>
    <w:rsid w:val="00A82E45"/>
    <w:rsid w:val="00A831E1"/>
    <w:rsid w:val="00A834E9"/>
    <w:rsid w:val="00A83655"/>
    <w:rsid w:val="00A83E82"/>
    <w:rsid w:val="00A84708"/>
    <w:rsid w:val="00A85074"/>
    <w:rsid w:val="00A85387"/>
    <w:rsid w:val="00A85C44"/>
    <w:rsid w:val="00A8669E"/>
    <w:rsid w:val="00A86967"/>
    <w:rsid w:val="00A87B50"/>
    <w:rsid w:val="00A9171A"/>
    <w:rsid w:val="00A9234C"/>
    <w:rsid w:val="00A928E0"/>
    <w:rsid w:val="00A929E3"/>
    <w:rsid w:val="00A93268"/>
    <w:rsid w:val="00A93690"/>
    <w:rsid w:val="00A9449F"/>
    <w:rsid w:val="00A9570C"/>
    <w:rsid w:val="00A97252"/>
    <w:rsid w:val="00A97389"/>
    <w:rsid w:val="00A97EEC"/>
    <w:rsid w:val="00AA0050"/>
    <w:rsid w:val="00AA0BAC"/>
    <w:rsid w:val="00AA1F3A"/>
    <w:rsid w:val="00AA20DA"/>
    <w:rsid w:val="00AA397D"/>
    <w:rsid w:val="00AA4350"/>
    <w:rsid w:val="00AA4454"/>
    <w:rsid w:val="00AA4BF9"/>
    <w:rsid w:val="00AA6F01"/>
    <w:rsid w:val="00AA70E3"/>
    <w:rsid w:val="00AB05F0"/>
    <w:rsid w:val="00AB0A7F"/>
    <w:rsid w:val="00AB12AF"/>
    <w:rsid w:val="00AB1469"/>
    <w:rsid w:val="00AB1496"/>
    <w:rsid w:val="00AB211B"/>
    <w:rsid w:val="00AB2F61"/>
    <w:rsid w:val="00AB357B"/>
    <w:rsid w:val="00AB4102"/>
    <w:rsid w:val="00AB4154"/>
    <w:rsid w:val="00AB491E"/>
    <w:rsid w:val="00AB4C8C"/>
    <w:rsid w:val="00AB6496"/>
    <w:rsid w:val="00AB66B7"/>
    <w:rsid w:val="00AB6A17"/>
    <w:rsid w:val="00AB7041"/>
    <w:rsid w:val="00AB7245"/>
    <w:rsid w:val="00AC020A"/>
    <w:rsid w:val="00AC022E"/>
    <w:rsid w:val="00AC0E0B"/>
    <w:rsid w:val="00AC2378"/>
    <w:rsid w:val="00AC2651"/>
    <w:rsid w:val="00AC3CE7"/>
    <w:rsid w:val="00AC3F75"/>
    <w:rsid w:val="00AC423F"/>
    <w:rsid w:val="00AC426B"/>
    <w:rsid w:val="00AC45ED"/>
    <w:rsid w:val="00AC4B1D"/>
    <w:rsid w:val="00AC50E8"/>
    <w:rsid w:val="00AC566F"/>
    <w:rsid w:val="00AC6C51"/>
    <w:rsid w:val="00AD0C7D"/>
    <w:rsid w:val="00AD146C"/>
    <w:rsid w:val="00AD18A1"/>
    <w:rsid w:val="00AD1DAF"/>
    <w:rsid w:val="00AD20C0"/>
    <w:rsid w:val="00AD257C"/>
    <w:rsid w:val="00AD27CC"/>
    <w:rsid w:val="00AD2A8D"/>
    <w:rsid w:val="00AD3495"/>
    <w:rsid w:val="00AD3A3E"/>
    <w:rsid w:val="00AD4543"/>
    <w:rsid w:val="00AD46A8"/>
    <w:rsid w:val="00AD57A8"/>
    <w:rsid w:val="00AD5B51"/>
    <w:rsid w:val="00AD5EB9"/>
    <w:rsid w:val="00AD669B"/>
    <w:rsid w:val="00AD70C9"/>
    <w:rsid w:val="00AD7292"/>
    <w:rsid w:val="00AD7308"/>
    <w:rsid w:val="00AD7540"/>
    <w:rsid w:val="00AD7656"/>
    <w:rsid w:val="00AD767A"/>
    <w:rsid w:val="00AD7EBB"/>
    <w:rsid w:val="00AE06B9"/>
    <w:rsid w:val="00AE08F2"/>
    <w:rsid w:val="00AE0E69"/>
    <w:rsid w:val="00AE215D"/>
    <w:rsid w:val="00AE2575"/>
    <w:rsid w:val="00AE26CF"/>
    <w:rsid w:val="00AE2B34"/>
    <w:rsid w:val="00AE3288"/>
    <w:rsid w:val="00AE3833"/>
    <w:rsid w:val="00AE3F2D"/>
    <w:rsid w:val="00AE42DA"/>
    <w:rsid w:val="00AE4936"/>
    <w:rsid w:val="00AE4EB6"/>
    <w:rsid w:val="00AE5956"/>
    <w:rsid w:val="00AE5FB6"/>
    <w:rsid w:val="00AF0753"/>
    <w:rsid w:val="00AF0807"/>
    <w:rsid w:val="00AF0FCD"/>
    <w:rsid w:val="00AF165B"/>
    <w:rsid w:val="00AF1725"/>
    <w:rsid w:val="00AF2565"/>
    <w:rsid w:val="00AF3747"/>
    <w:rsid w:val="00AF3D39"/>
    <w:rsid w:val="00AF4152"/>
    <w:rsid w:val="00AF57A7"/>
    <w:rsid w:val="00AF5B6A"/>
    <w:rsid w:val="00AF5E48"/>
    <w:rsid w:val="00AF61D0"/>
    <w:rsid w:val="00AF6671"/>
    <w:rsid w:val="00AF66CF"/>
    <w:rsid w:val="00AF70F3"/>
    <w:rsid w:val="00AF7610"/>
    <w:rsid w:val="00AF79F9"/>
    <w:rsid w:val="00AF7B7A"/>
    <w:rsid w:val="00AF7B91"/>
    <w:rsid w:val="00B00AE8"/>
    <w:rsid w:val="00B014E1"/>
    <w:rsid w:val="00B01EDD"/>
    <w:rsid w:val="00B02A1B"/>
    <w:rsid w:val="00B02FC2"/>
    <w:rsid w:val="00B03595"/>
    <w:rsid w:val="00B0403F"/>
    <w:rsid w:val="00B04383"/>
    <w:rsid w:val="00B0500F"/>
    <w:rsid w:val="00B0583B"/>
    <w:rsid w:val="00B05B96"/>
    <w:rsid w:val="00B063CC"/>
    <w:rsid w:val="00B07F8E"/>
    <w:rsid w:val="00B102CA"/>
    <w:rsid w:val="00B10D00"/>
    <w:rsid w:val="00B110BC"/>
    <w:rsid w:val="00B117AB"/>
    <w:rsid w:val="00B1190D"/>
    <w:rsid w:val="00B12341"/>
    <w:rsid w:val="00B12ABE"/>
    <w:rsid w:val="00B1314F"/>
    <w:rsid w:val="00B133C1"/>
    <w:rsid w:val="00B134CC"/>
    <w:rsid w:val="00B138DA"/>
    <w:rsid w:val="00B14AB4"/>
    <w:rsid w:val="00B150C4"/>
    <w:rsid w:val="00B16DAE"/>
    <w:rsid w:val="00B17EB7"/>
    <w:rsid w:val="00B20546"/>
    <w:rsid w:val="00B209C4"/>
    <w:rsid w:val="00B21162"/>
    <w:rsid w:val="00B216E5"/>
    <w:rsid w:val="00B21988"/>
    <w:rsid w:val="00B224A8"/>
    <w:rsid w:val="00B22E2A"/>
    <w:rsid w:val="00B232E6"/>
    <w:rsid w:val="00B23966"/>
    <w:rsid w:val="00B23AD0"/>
    <w:rsid w:val="00B23C02"/>
    <w:rsid w:val="00B23E9B"/>
    <w:rsid w:val="00B24D60"/>
    <w:rsid w:val="00B24D8E"/>
    <w:rsid w:val="00B255EE"/>
    <w:rsid w:val="00B259AB"/>
    <w:rsid w:val="00B261E8"/>
    <w:rsid w:val="00B26281"/>
    <w:rsid w:val="00B264A6"/>
    <w:rsid w:val="00B26859"/>
    <w:rsid w:val="00B270A2"/>
    <w:rsid w:val="00B27944"/>
    <w:rsid w:val="00B27C36"/>
    <w:rsid w:val="00B27E45"/>
    <w:rsid w:val="00B305EA"/>
    <w:rsid w:val="00B307D6"/>
    <w:rsid w:val="00B30926"/>
    <w:rsid w:val="00B30A3C"/>
    <w:rsid w:val="00B30B95"/>
    <w:rsid w:val="00B31AF7"/>
    <w:rsid w:val="00B32090"/>
    <w:rsid w:val="00B3222F"/>
    <w:rsid w:val="00B324BB"/>
    <w:rsid w:val="00B328A4"/>
    <w:rsid w:val="00B3383B"/>
    <w:rsid w:val="00B35FA9"/>
    <w:rsid w:val="00B373ED"/>
    <w:rsid w:val="00B375B3"/>
    <w:rsid w:val="00B37EED"/>
    <w:rsid w:val="00B40FDC"/>
    <w:rsid w:val="00B41437"/>
    <w:rsid w:val="00B41C12"/>
    <w:rsid w:val="00B42942"/>
    <w:rsid w:val="00B42BAC"/>
    <w:rsid w:val="00B435CA"/>
    <w:rsid w:val="00B436C5"/>
    <w:rsid w:val="00B4397E"/>
    <w:rsid w:val="00B44B88"/>
    <w:rsid w:val="00B44C02"/>
    <w:rsid w:val="00B44C5A"/>
    <w:rsid w:val="00B452FD"/>
    <w:rsid w:val="00B45BC0"/>
    <w:rsid w:val="00B45FA1"/>
    <w:rsid w:val="00B46154"/>
    <w:rsid w:val="00B4793B"/>
    <w:rsid w:val="00B479D1"/>
    <w:rsid w:val="00B47C30"/>
    <w:rsid w:val="00B47E71"/>
    <w:rsid w:val="00B501CA"/>
    <w:rsid w:val="00B5059B"/>
    <w:rsid w:val="00B507C1"/>
    <w:rsid w:val="00B50F85"/>
    <w:rsid w:val="00B510AB"/>
    <w:rsid w:val="00B511F3"/>
    <w:rsid w:val="00B51732"/>
    <w:rsid w:val="00B5177D"/>
    <w:rsid w:val="00B51B4C"/>
    <w:rsid w:val="00B5204E"/>
    <w:rsid w:val="00B52DE4"/>
    <w:rsid w:val="00B5301A"/>
    <w:rsid w:val="00B53521"/>
    <w:rsid w:val="00B535E1"/>
    <w:rsid w:val="00B53A25"/>
    <w:rsid w:val="00B54C45"/>
    <w:rsid w:val="00B55139"/>
    <w:rsid w:val="00B55744"/>
    <w:rsid w:val="00B55D40"/>
    <w:rsid w:val="00B55DCD"/>
    <w:rsid w:val="00B5636B"/>
    <w:rsid w:val="00B5680D"/>
    <w:rsid w:val="00B56A05"/>
    <w:rsid w:val="00B56D14"/>
    <w:rsid w:val="00B56DCB"/>
    <w:rsid w:val="00B57558"/>
    <w:rsid w:val="00B57C15"/>
    <w:rsid w:val="00B606DD"/>
    <w:rsid w:val="00B60D05"/>
    <w:rsid w:val="00B6145D"/>
    <w:rsid w:val="00B614D2"/>
    <w:rsid w:val="00B62709"/>
    <w:rsid w:val="00B64660"/>
    <w:rsid w:val="00B64679"/>
    <w:rsid w:val="00B64C3C"/>
    <w:rsid w:val="00B652E9"/>
    <w:rsid w:val="00B656E1"/>
    <w:rsid w:val="00B659BA"/>
    <w:rsid w:val="00B65D7E"/>
    <w:rsid w:val="00B66961"/>
    <w:rsid w:val="00B66A67"/>
    <w:rsid w:val="00B67082"/>
    <w:rsid w:val="00B670B6"/>
    <w:rsid w:val="00B67D2A"/>
    <w:rsid w:val="00B67F36"/>
    <w:rsid w:val="00B70947"/>
    <w:rsid w:val="00B71742"/>
    <w:rsid w:val="00B724FB"/>
    <w:rsid w:val="00B7319C"/>
    <w:rsid w:val="00B73784"/>
    <w:rsid w:val="00B74609"/>
    <w:rsid w:val="00B749C5"/>
    <w:rsid w:val="00B75009"/>
    <w:rsid w:val="00B750E4"/>
    <w:rsid w:val="00B75D64"/>
    <w:rsid w:val="00B7612C"/>
    <w:rsid w:val="00B76653"/>
    <w:rsid w:val="00B76873"/>
    <w:rsid w:val="00B76EDB"/>
    <w:rsid w:val="00B80110"/>
    <w:rsid w:val="00B801EA"/>
    <w:rsid w:val="00B80447"/>
    <w:rsid w:val="00B804F8"/>
    <w:rsid w:val="00B808E0"/>
    <w:rsid w:val="00B813E5"/>
    <w:rsid w:val="00B81D7A"/>
    <w:rsid w:val="00B81EFB"/>
    <w:rsid w:val="00B81F13"/>
    <w:rsid w:val="00B821D3"/>
    <w:rsid w:val="00B84A45"/>
    <w:rsid w:val="00B84ABC"/>
    <w:rsid w:val="00B85B9C"/>
    <w:rsid w:val="00B86720"/>
    <w:rsid w:val="00B868EB"/>
    <w:rsid w:val="00B86D47"/>
    <w:rsid w:val="00B86F6F"/>
    <w:rsid w:val="00B87471"/>
    <w:rsid w:val="00B87688"/>
    <w:rsid w:val="00B9003C"/>
    <w:rsid w:val="00B90275"/>
    <w:rsid w:val="00B9060C"/>
    <w:rsid w:val="00B90B9C"/>
    <w:rsid w:val="00B90F83"/>
    <w:rsid w:val="00B913DD"/>
    <w:rsid w:val="00B91489"/>
    <w:rsid w:val="00B91763"/>
    <w:rsid w:val="00B9274B"/>
    <w:rsid w:val="00B92C50"/>
    <w:rsid w:val="00B9319A"/>
    <w:rsid w:val="00B93608"/>
    <w:rsid w:val="00B938C6"/>
    <w:rsid w:val="00B939E4"/>
    <w:rsid w:val="00B943D0"/>
    <w:rsid w:val="00B94A1C"/>
    <w:rsid w:val="00B94F99"/>
    <w:rsid w:val="00B96B58"/>
    <w:rsid w:val="00B971C0"/>
    <w:rsid w:val="00B972C0"/>
    <w:rsid w:val="00B97945"/>
    <w:rsid w:val="00B97F68"/>
    <w:rsid w:val="00BA0558"/>
    <w:rsid w:val="00BA1F85"/>
    <w:rsid w:val="00BA27F2"/>
    <w:rsid w:val="00BA2C34"/>
    <w:rsid w:val="00BA2F37"/>
    <w:rsid w:val="00BA3670"/>
    <w:rsid w:val="00BA399D"/>
    <w:rsid w:val="00BA5070"/>
    <w:rsid w:val="00BA56E3"/>
    <w:rsid w:val="00BA5A71"/>
    <w:rsid w:val="00BA656A"/>
    <w:rsid w:val="00BA65A8"/>
    <w:rsid w:val="00BA6B64"/>
    <w:rsid w:val="00BA7CAF"/>
    <w:rsid w:val="00BB103E"/>
    <w:rsid w:val="00BB14CF"/>
    <w:rsid w:val="00BB191A"/>
    <w:rsid w:val="00BB1D5A"/>
    <w:rsid w:val="00BB207D"/>
    <w:rsid w:val="00BB3201"/>
    <w:rsid w:val="00BB3A5D"/>
    <w:rsid w:val="00BB3E63"/>
    <w:rsid w:val="00BB4229"/>
    <w:rsid w:val="00BB42B6"/>
    <w:rsid w:val="00BB4BF0"/>
    <w:rsid w:val="00BB4CE5"/>
    <w:rsid w:val="00BB4D7F"/>
    <w:rsid w:val="00BB4E76"/>
    <w:rsid w:val="00BB4FDD"/>
    <w:rsid w:val="00BB677C"/>
    <w:rsid w:val="00BB67FE"/>
    <w:rsid w:val="00BB6967"/>
    <w:rsid w:val="00BC01B9"/>
    <w:rsid w:val="00BC0305"/>
    <w:rsid w:val="00BC0316"/>
    <w:rsid w:val="00BC0560"/>
    <w:rsid w:val="00BC0F2D"/>
    <w:rsid w:val="00BC1088"/>
    <w:rsid w:val="00BC127B"/>
    <w:rsid w:val="00BC17F0"/>
    <w:rsid w:val="00BC1A9F"/>
    <w:rsid w:val="00BC1B60"/>
    <w:rsid w:val="00BC23E6"/>
    <w:rsid w:val="00BC25D7"/>
    <w:rsid w:val="00BC271D"/>
    <w:rsid w:val="00BC309D"/>
    <w:rsid w:val="00BC3811"/>
    <w:rsid w:val="00BC39FD"/>
    <w:rsid w:val="00BC4685"/>
    <w:rsid w:val="00BC5360"/>
    <w:rsid w:val="00BC5B49"/>
    <w:rsid w:val="00BC6765"/>
    <w:rsid w:val="00BC6E8A"/>
    <w:rsid w:val="00BD08D8"/>
    <w:rsid w:val="00BD0A72"/>
    <w:rsid w:val="00BD0CCF"/>
    <w:rsid w:val="00BD0E66"/>
    <w:rsid w:val="00BD0E69"/>
    <w:rsid w:val="00BD0F77"/>
    <w:rsid w:val="00BD20DB"/>
    <w:rsid w:val="00BD24D9"/>
    <w:rsid w:val="00BD26CC"/>
    <w:rsid w:val="00BD34D0"/>
    <w:rsid w:val="00BD389C"/>
    <w:rsid w:val="00BD487F"/>
    <w:rsid w:val="00BD4880"/>
    <w:rsid w:val="00BD4B05"/>
    <w:rsid w:val="00BD6347"/>
    <w:rsid w:val="00BD6482"/>
    <w:rsid w:val="00BD6A1A"/>
    <w:rsid w:val="00BD7670"/>
    <w:rsid w:val="00BD7886"/>
    <w:rsid w:val="00BD7B12"/>
    <w:rsid w:val="00BD7B4F"/>
    <w:rsid w:val="00BD7DF3"/>
    <w:rsid w:val="00BE0FCC"/>
    <w:rsid w:val="00BE1022"/>
    <w:rsid w:val="00BE23D0"/>
    <w:rsid w:val="00BE29D8"/>
    <w:rsid w:val="00BE33E4"/>
    <w:rsid w:val="00BE3EDC"/>
    <w:rsid w:val="00BE4C9D"/>
    <w:rsid w:val="00BE57EF"/>
    <w:rsid w:val="00BE5DC0"/>
    <w:rsid w:val="00BE5F57"/>
    <w:rsid w:val="00BE64E9"/>
    <w:rsid w:val="00BE655B"/>
    <w:rsid w:val="00BE6AA0"/>
    <w:rsid w:val="00BE6C9E"/>
    <w:rsid w:val="00BE73BD"/>
    <w:rsid w:val="00BE7C16"/>
    <w:rsid w:val="00BF046C"/>
    <w:rsid w:val="00BF0673"/>
    <w:rsid w:val="00BF0917"/>
    <w:rsid w:val="00BF0A44"/>
    <w:rsid w:val="00BF0DDA"/>
    <w:rsid w:val="00BF0F5F"/>
    <w:rsid w:val="00BF285B"/>
    <w:rsid w:val="00BF2B6E"/>
    <w:rsid w:val="00BF2BDF"/>
    <w:rsid w:val="00BF38E4"/>
    <w:rsid w:val="00BF3A65"/>
    <w:rsid w:val="00BF47F7"/>
    <w:rsid w:val="00BF4F51"/>
    <w:rsid w:val="00BF570B"/>
    <w:rsid w:val="00BF62D0"/>
    <w:rsid w:val="00BF682D"/>
    <w:rsid w:val="00BF6C08"/>
    <w:rsid w:val="00C00284"/>
    <w:rsid w:val="00C007A7"/>
    <w:rsid w:val="00C00BCD"/>
    <w:rsid w:val="00C01DBC"/>
    <w:rsid w:val="00C023A1"/>
    <w:rsid w:val="00C0356E"/>
    <w:rsid w:val="00C03E1C"/>
    <w:rsid w:val="00C0412A"/>
    <w:rsid w:val="00C04A4D"/>
    <w:rsid w:val="00C065E7"/>
    <w:rsid w:val="00C0779A"/>
    <w:rsid w:val="00C0784E"/>
    <w:rsid w:val="00C105B2"/>
    <w:rsid w:val="00C106ED"/>
    <w:rsid w:val="00C123E6"/>
    <w:rsid w:val="00C126BD"/>
    <w:rsid w:val="00C13D03"/>
    <w:rsid w:val="00C13EE2"/>
    <w:rsid w:val="00C141EB"/>
    <w:rsid w:val="00C17B8F"/>
    <w:rsid w:val="00C200A9"/>
    <w:rsid w:val="00C20610"/>
    <w:rsid w:val="00C20849"/>
    <w:rsid w:val="00C20DB1"/>
    <w:rsid w:val="00C21391"/>
    <w:rsid w:val="00C216E1"/>
    <w:rsid w:val="00C22018"/>
    <w:rsid w:val="00C227CB"/>
    <w:rsid w:val="00C22EBE"/>
    <w:rsid w:val="00C2307F"/>
    <w:rsid w:val="00C24284"/>
    <w:rsid w:val="00C24439"/>
    <w:rsid w:val="00C24704"/>
    <w:rsid w:val="00C24C25"/>
    <w:rsid w:val="00C25004"/>
    <w:rsid w:val="00C25C05"/>
    <w:rsid w:val="00C2723E"/>
    <w:rsid w:val="00C27728"/>
    <w:rsid w:val="00C27BBA"/>
    <w:rsid w:val="00C301E8"/>
    <w:rsid w:val="00C30F52"/>
    <w:rsid w:val="00C31797"/>
    <w:rsid w:val="00C31BD4"/>
    <w:rsid w:val="00C3214E"/>
    <w:rsid w:val="00C32590"/>
    <w:rsid w:val="00C32C8D"/>
    <w:rsid w:val="00C33271"/>
    <w:rsid w:val="00C339E0"/>
    <w:rsid w:val="00C34B13"/>
    <w:rsid w:val="00C34C1A"/>
    <w:rsid w:val="00C35C77"/>
    <w:rsid w:val="00C36715"/>
    <w:rsid w:val="00C36974"/>
    <w:rsid w:val="00C37099"/>
    <w:rsid w:val="00C40CC0"/>
    <w:rsid w:val="00C410AA"/>
    <w:rsid w:val="00C41AA7"/>
    <w:rsid w:val="00C424ED"/>
    <w:rsid w:val="00C42910"/>
    <w:rsid w:val="00C42A91"/>
    <w:rsid w:val="00C43A26"/>
    <w:rsid w:val="00C43CF1"/>
    <w:rsid w:val="00C44EC0"/>
    <w:rsid w:val="00C4522F"/>
    <w:rsid w:val="00C456A5"/>
    <w:rsid w:val="00C457EB"/>
    <w:rsid w:val="00C45E66"/>
    <w:rsid w:val="00C46265"/>
    <w:rsid w:val="00C46DE5"/>
    <w:rsid w:val="00C470A7"/>
    <w:rsid w:val="00C51AA5"/>
    <w:rsid w:val="00C51DC9"/>
    <w:rsid w:val="00C52101"/>
    <w:rsid w:val="00C5218A"/>
    <w:rsid w:val="00C52278"/>
    <w:rsid w:val="00C52489"/>
    <w:rsid w:val="00C530B6"/>
    <w:rsid w:val="00C53284"/>
    <w:rsid w:val="00C53A22"/>
    <w:rsid w:val="00C54151"/>
    <w:rsid w:val="00C54264"/>
    <w:rsid w:val="00C554BC"/>
    <w:rsid w:val="00C56A9A"/>
    <w:rsid w:val="00C578B5"/>
    <w:rsid w:val="00C579DB"/>
    <w:rsid w:val="00C57A1E"/>
    <w:rsid w:val="00C57A2F"/>
    <w:rsid w:val="00C60642"/>
    <w:rsid w:val="00C60A2C"/>
    <w:rsid w:val="00C60EA6"/>
    <w:rsid w:val="00C60F01"/>
    <w:rsid w:val="00C61767"/>
    <w:rsid w:val="00C6333D"/>
    <w:rsid w:val="00C63716"/>
    <w:rsid w:val="00C637CD"/>
    <w:rsid w:val="00C6395A"/>
    <w:rsid w:val="00C64433"/>
    <w:rsid w:val="00C644E9"/>
    <w:rsid w:val="00C64A85"/>
    <w:rsid w:val="00C64AB2"/>
    <w:rsid w:val="00C64B9B"/>
    <w:rsid w:val="00C6563D"/>
    <w:rsid w:val="00C658B9"/>
    <w:rsid w:val="00C65BCF"/>
    <w:rsid w:val="00C662A6"/>
    <w:rsid w:val="00C666B5"/>
    <w:rsid w:val="00C667C0"/>
    <w:rsid w:val="00C66AAD"/>
    <w:rsid w:val="00C66AF4"/>
    <w:rsid w:val="00C67B01"/>
    <w:rsid w:val="00C700E3"/>
    <w:rsid w:val="00C70332"/>
    <w:rsid w:val="00C704BC"/>
    <w:rsid w:val="00C712FF"/>
    <w:rsid w:val="00C72A4B"/>
    <w:rsid w:val="00C73E2A"/>
    <w:rsid w:val="00C747E7"/>
    <w:rsid w:val="00C74E97"/>
    <w:rsid w:val="00C752D0"/>
    <w:rsid w:val="00C7644C"/>
    <w:rsid w:val="00C8024E"/>
    <w:rsid w:val="00C803E1"/>
    <w:rsid w:val="00C80D73"/>
    <w:rsid w:val="00C81221"/>
    <w:rsid w:val="00C81503"/>
    <w:rsid w:val="00C81528"/>
    <w:rsid w:val="00C817D0"/>
    <w:rsid w:val="00C819B8"/>
    <w:rsid w:val="00C81A7A"/>
    <w:rsid w:val="00C81EC1"/>
    <w:rsid w:val="00C8205D"/>
    <w:rsid w:val="00C821AD"/>
    <w:rsid w:val="00C835D4"/>
    <w:rsid w:val="00C83905"/>
    <w:rsid w:val="00C83AE0"/>
    <w:rsid w:val="00C84877"/>
    <w:rsid w:val="00C84B28"/>
    <w:rsid w:val="00C85259"/>
    <w:rsid w:val="00C857EB"/>
    <w:rsid w:val="00C8583F"/>
    <w:rsid w:val="00C8623F"/>
    <w:rsid w:val="00C8718A"/>
    <w:rsid w:val="00C875D5"/>
    <w:rsid w:val="00C87615"/>
    <w:rsid w:val="00C907A2"/>
    <w:rsid w:val="00C909EE"/>
    <w:rsid w:val="00C91F7E"/>
    <w:rsid w:val="00C92791"/>
    <w:rsid w:val="00C92C77"/>
    <w:rsid w:val="00C92F2B"/>
    <w:rsid w:val="00C94A18"/>
    <w:rsid w:val="00C9508B"/>
    <w:rsid w:val="00C95D26"/>
    <w:rsid w:val="00C95EA0"/>
    <w:rsid w:val="00C95EF1"/>
    <w:rsid w:val="00C96065"/>
    <w:rsid w:val="00C96F9E"/>
    <w:rsid w:val="00C97370"/>
    <w:rsid w:val="00C97DB9"/>
    <w:rsid w:val="00CA012F"/>
    <w:rsid w:val="00CA1D94"/>
    <w:rsid w:val="00CA2611"/>
    <w:rsid w:val="00CA2749"/>
    <w:rsid w:val="00CA36B1"/>
    <w:rsid w:val="00CA3B94"/>
    <w:rsid w:val="00CA3E2C"/>
    <w:rsid w:val="00CA3EAF"/>
    <w:rsid w:val="00CA4906"/>
    <w:rsid w:val="00CA5141"/>
    <w:rsid w:val="00CA5390"/>
    <w:rsid w:val="00CA7021"/>
    <w:rsid w:val="00CA7F16"/>
    <w:rsid w:val="00CB05D2"/>
    <w:rsid w:val="00CB0804"/>
    <w:rsid w:val="00CB09C4"/>
    <w:rsid w:val="00CB0A3B"/>
    <w:rsid w:val="00CB0DF5"/>
    <w:rsid w:val="00CB120A"/>
    <w:rsid w:val="00CB3457"/>
    <w:rsid w:val="00CB38AC"/>
    <w:rsid w:val="00CB4E63"/>
    <w:rsid w:val="00CB5577"/>
    <w:rsid w:val="00CB57DC"/>
    <w:rsid w:val="00CB5AB5"/>
    <w:rsid w:val="00CB6FA7"/>
    <w:rsid w:val="00CB72A4"/>
    <w:rsid w:val="00CB7C26"/>
    <w:rsid w:val="00CB7FBB"/>
    <w:rsid w:val="00CC0A5E"/>
    <w:rsid w:val="00CC0A9C"/>
    <w:rsid w:val="00CC0C38"/>
    <w:rsid w:val="00CC0FC9"/>
    <w:rsid w:val="00CC16F4"/>
    <w:rsid w:val="00CC1938"/>
    <w:rsid w:val="00CC1B8C"/>
    <w:rsid w:val="00CC25D2"/>
    <w:rsid w:val="00CC26B1"/>
    <w:rsid w:val="00CC293D"/>
    <w:rsid w:val="00CC3750"/>
    <w:rsid w:val="00CC3DE8"/>
    <w:rsid w:val="00CC5F14"/>
    <w:rsid w:val="00CC644F"/>
    <w:rsid w:val="00CD05D7"/>
    <w:rsid w:val="00CD1E9F"/>
    <w:rsid w:val="00CD206D"/>
    <w:rsid w:val="00CD246F"/>
    <w:rsid w:val="00CD3A94"/>
    <w:rsid w:val="00CD4228"/>
    <w:rsid w:val="00CD5736"/>
    <w:rsid w:val="00CD79F4"/>
    <w:rsid w:val="00CD7B11"/>
    <w:rsid w:val="00CD7D7D"/>
    <w:rsid w:val="00CE0757"/>
    <w:rsid w:val="00CE0A27"/>
    <w:rsid w:val="00CE13A3"/>
    <w:rsid w:val="00CE185D"/>
    <w:rsid w:val="00CE1874"/>
    <w:rsid w:val="00CE1BDC"/>
    <w:rsid w:val="00CE1F3C"/>
    <w:rsid w:val="00CE2426"/>
    <w:rsid w:val="00CE253A"/>
    <w:rsid w:val="00CE28B6"/>
    <w:rsid w:val="00CE3CFF"/>
    <w:rsid w:val="00CE4511"/>
    <w:rsid w:val="00CE464D"/>
    <w:rsid w:val="00CE4AB7"/>
    <w:rsid w:val="00CE59C2"/>
    <w:rsid w:val="00CE6887"/>
    <w:rsid w:val="00CE7610"/>
    <w:rsid w:val="00CE7FB7"/>
    <w:rsid w:val="00CF04E5"/>
    <w:rsid w:val="00CF0863"/>
    <w:rsid w:val="00CF25A5"/>
    <w:rsid w:val="00CF3A33"/>
    <w:rsid w:val="00CF4353"/>
    <w:rsid w:val="00CF4BF2"/>
    <w:rsid w:val="00CF5638"/>
    <w:rsid w:val="00CF5AEF"/>
    <w:rsid w:val="00CF5BC8"/>
    <w:rsid w:val="00CF67D0"/>
    <w:rsid w:val="00CF69B4"/>
    <w:rsid w:val="00CF7661"/>
    <w:rsid w:val="00CF788D"/>
    <w:rsid w:val="00D00002"/>
    <w:rsid w:val="00D0026B"/>
    <w:rsid w:val="00D00FFF"/>
    <w:rsid w:val="00D0168D"/>
    <w:rsid w:val="00D019B8"/>
    <w:rsid w:val="00D01B26"/>
    <w:rsid w:val="00D02462"/>
    <w:rsid w:val="00D02B8D"/>
    <w:rsid w:val="00D038BF"/>
    <w:rsid w:val="00D038FC"/>
    <w:rsid w:val="00D04086"/>
    <w:rsid w:val="00D042C0"/>
    <w:rsid w:val="00D044BE"/>
    <w:rsid w:val="00D06275"/>
    <w:rsid w:val="00D0665D"/>
    <w:rsid w:val="00D07106"/>
    <w:rsid w:val="00D0719C"/>
    <w:rsid w:val="00D076DA"/>
    <w:rsid w:val="00D07826"/>
    <w:rsid w:val="00D07D90"/>
    <w:rsid w:val="00D10659"/>
    <w:rsid w:val="00D106CC"/>
    <w:rsid w:val="00D109EF"/>
    <w:rsid w:val="00D123FB"/>
    <w:rsid w:val="00D12DC9"/>
    <w:rsid w:val="00D13397"/>
    <w:rsid w:val="00D147F8"/>
    <w:rsid w:val="00D14AF3"/>
    <w:rsid w:val="00D14D32"/>
    <w:rsid w:val="00D15F7D"/>
    <w:rsid w:val="00D1614F"/>
    <w:rsid w:val="00D17360"/>
    <w:rsid w:val="00D17964"/>
    <w:rsid w:val="00D224DA"/>
    <w:rsid w:val="00D23052"/>
    <w:rsid w:val="00D23675"/>
    <w:rsid w:val="00D238FB"/>
    <w:rsid w:val="00D23FC5"/>
    <w:rsid w:val="00D24774"/>
    <w:rsid w:val="00D24A46"/>
    <w:rsid w:val="00D2520F"/>
    <w:rsid w:val="00D2584B"/>
    <w:rsid w:val="00D25E5F"/>
    <w:rsid w:val="00D26574"/>
    <w:rsid w:val="00D26F8A"/>
    <w:rsid w:val="00D27CFF"/>
    <w:rsid w:val="00D27E84"/>
    <w:rsid w:val="00D31342"/>
    <w:rsid w:val="00D320F3"/>
    <w:rsid w:val="00D32F0A"/>
    <w:rsid w:val="00D33754"/>
    <w:rsid w:val="00D33C1D"/>
    <w:rsid w:val="00D34C82"/>
    <w:rsid w:val="00D35871"/>
    <w:rsid w:val="00D35FDE"/>
    <w:rsid w:val="00D36992"/>
    <w:rsid w:val="00D401C2"/>
    <w:rsid w:val="00D404A3"/>
    <w:rsid w:val="00D405CB"/>
    <w:rsid w:val="00D405FD"/>
    <w:rsid w:val="00D410E9"/>
    <w:rsid w:val="00D41191"/>
    <w:rsid w:val="00D42066"/>
    <w:rsid w:val="00D42755"/>
    <w:rsid w:val="00D42F82"/>
    <w:rsid w:val="00D4365A"/>
    <w:rsid w:val="00D43940"/>
    <w:rsid w:val="00D43C20"/>
    <w:rsid w:val="00D44353"/>
    <w:rsid w:val="00D44AF7"/>
    <w:rsid w:val="00D45DE5"/>
    <w:rsid w:val="00D460A5"/>
    <w:rsid w:val="00D46173"/>
    <w:rsid w:val="00D46213"/>
    <w:rsid w:val="00D47B54"/>
    <w:rsid w:val="00D47C2B"/>
    <w:rsid w:val="00D47E04"/>
    <w:rsid w:val="00D5029F"/>
    <w:rsid w:val="00D50400"/>
    <w:rsid w:val="00D509E3"/>
    <w:rsid w:val="00D509E4"/>
    <w:rsid w:val="00D50C36"/>
    <w:rsid w:val="00D50D20"/>
    <w:rsid w:val="00D512DE"/>
    <w:rsid w:val="00D513A1"/>
    <w:rsid w:val="00D522D6"/>
    <w:rsid w:val="00D52478"/>
    <w:rsid w:val="00D531CA"/>
    <w:rsid w:val="00D53A88"/>
    <w:rsid w:val="00D54946"/>
    <w:rsid w:val="00D54D19"/>
    <w:rsid w:val="00D54FDF"/>
    <w:rsid w:val="00D55226"/>
    <w:rsid w:val="00D555A5"/>
    <w:rsid w:val="00D56497"/>
    <w:rsid w:val="00D5788D"/>
    <w:rsid w:val="00D57909"/>
    <w:rsid w:val="00D57FC1"/>
    <w:rsid w:val="00D601E3"/>
    <w:rsid w:val="00D6067A"/>
    <w:rsid w:val="00D60958"/>
    <w:rsid w:val="00D62B2A"/>
    <w:rsid w:val="00D639F9"/>
    <w:rsid w:val="00D63FCD"/>
    <w:rsid w:val="00D648D0"/>
    <w:rsid w:val="00D64911"/>
    <w:rsid w:val="00D64BEB"/>
    <w:rsid w:val="00D64D77"/>
    <w:rsid w:val="00D65EEB"/>
    <w:rsid w:val="00D660D2"/>
    <w:rsid w:val="00D665A6"/>
    <w:rsid w:val="00D66BA8"/>
    <w:rsid w:val="00D71B5F"/>
    <w:rsid w:val="00D72EF5"/>
    <w:rsid w:val="00D73D27"/>
    <w:rsid w:val="00D751BD"/>
    <w:rsid w:val="00D755BE"/>
    <w:rsid w:val="00D76CDE"/>
    <w:rsid w:val="00D779F0"/>
    <w:rsid w:val="00D80C36"/>
    <w:rsid w:val="00D8188F"/>
    <w:rsid w:val="00D81B76"/>
    <w:rsid w:val="00D834F8"/>
    <w:rsid w:val="00D83FC9"/>
    <w:rsid w:val="00D8427E"/>
    <w:rsid w:val="00D861A0"/>
    <w:rsid w:val="00D87EF5"/>
    <w:rsid w:val="00D92229"/>
    <w:rsid w:val="00D9257B"/>
    <w:rsid w:val="00D92B75"/>
    <w:rsid w:val="00D92F5E"/>
    <w:rsid w:val="00D939FD"/>
    <w:rsid w:val="00D94298"/>
    <w:rsid w:val="00D94418"/>
    <w:rsid w:val="00D94DAE"/>
    <w:rsid w:val="00D96193"/>
    <w:rsid w:val="00D961B5"/>
    <w:rsid w:val="00D9633C"/>
    <w:rsid w:val="00D96FAE"/>
    <w:rsid w:val="00D9762B"/>
    <w:rsid w:val="00D97B3A"/>
    <w:rsid w:val="00D97DB4"/>
    <w:rsid w:val="00DA0B34"/>
    <w:rsid w:val="00DA0F00"/>
    <w:rsid w:val="00DA1C90"/>
    <w:rsid w:val="00DA21F5"/>
    <w:rsid w:val="00DA25B4"/>
    <w:rsid w:val="00DA2FEC"/>
    <w:rsid w:val="00DA313A"/>
    <w:rsid w:val="00DA33F1"/>
    <w:rsid w:val="00DA37D0"/>
    <w:rsid w:val="00DA3D37"/>
    <w:rsid w:val="00DA4467"/>
    <w:rsid w:val="00DA502F"/>
    <w:rsid w:val="00DA52C7"/>
    <w:rsid w:val="00DA5451"/>
    <w:rsid w:val="00DA54FF"/>
    <w:rsid w:val="00DA5DB2"/>
    <w:rsid w:val="00DA635A"/>
    <w:rsid w:val="00DA66BE"/>
    <w:rsid w:val="00DA6DC8"/>
    <w:rsid w:val="00DA7B4C"/>
    <w:rsid w:val="00DB0105"/>
    <w:rsid w:val="00DB0EF7"/>
    <w:rsid w:val="00DB177B"/>
    <w:rsid w:val="00DB2623"/>
    <w:rsid w:val="00DB2CA0"/>
    <w:rsid w:val="00DB36F2"/>
    <w:rsid w:val="00DB3EF2"/>
    <w:rsid w:val="00DB5367"/>
    <w:rsid w:val="00DB5C9C"/>
    <w:rsid w:val="00DB61AA"/>
    <w:rsid w:val="00DB6596"/>
    <w:rsid w:val="00DB74B6"/>
    <w:rsid w:val="00DB7A9E"/>
    <w:rsid w:val="00DB7FC2"/>
    <w:rsid w:val="00DC01A6"/>
    <w:rsid w:val="00DC06BC"/>
    <w:rsid w:val="00DC199F"/>
    <w:rsid w:val="00DC1C7F"/>
    <w:rsid w:val="00DC4646"/>
    <w:rsid w:val="00DC4664"/>
    <w:rsid w:val="00DC4832"/>
    <w:rsid w:val="00DC48D3"/>
    <w:rsid w:val="00DC4DA8"/>
    <w:rsid w:val="00DC511C"/>
    <w:rsid w:val="00DC5247"/>
    <w:rsid w:val="00DC592B"/>
    <w:rsid w:val="00DC6D3C"/>
    <w:rsid w:val="00DC6DE3"/>
    <w:rsid w:val="00DC6E85"/>
    <w:rsid w:val="00DC7B49"/>
    <w:rsid w:val="00DC7F98"/>
    <w:rsid w:val="00DD01E3"/>
    <w:rsid w:val="00DD0FBC"/>
    <w:rsid w:val="00DD109F"/>
    <w:rsid w:val="00DD143F"/>
    <w:rsid w:val="00DD1969"/>
    <w:rsid w:val="00DD1FEC"/>
    <w:rsid w:val="00DD201B"/>
    <w:rsid w:val="00DD26EA"/>
    <w:rsid w:val="00DD3DC5"/>
    <w:rsid w:val="00DD4335"/>
    <w:rsid w:val="00DD43F5"/>
    <w:rsid w:val="00DD44C5"/>
    <w:rsid w:val="00DD5DE1"/>
    <w:rsid w:val="00DD65A9"/>
    <w:rsid w:val="00DD6C7A"/>
    <w:rsid w:val="00DD74A3"/>
    <w:rsid w:val="00DD752B"/>
    <w:rsid w:val="00DD76ED"/>
    <w:rsid w:val="00DD7722"/>
    <w:rsid w:val="00DD7B76"/>
    <w:rsid w:val="00DE0A20"/>
    <w:rsid w:val="00DE0BE2"/>
    <w:rsid w:val="00DE15F4"/>
    <w:rsid w:val="00DE1FE8"/>
    <w:rsid w:val="00DE2777"/>
    <w:rsid w:val="00DE2A42"/>
    <w:rsid w:val="00DE2E8A"/>
    <w:rsid w:val="00DE2E8F"/>
    <w:rsid w:val="00DE3A19"/>
    <w:rsid w:val="00DE3A45"/>
    <w:rsid w:val="00DE3EAB"/>
    <w:rsid w:val="00DE4159"/>
    <w:rsid w:val="00DE43CD"/>
    <w:rsid w:val="00DE4638"/>
    <w:rsid w:val="00DE4979"/>
    <w:rsid w:val="00DE4A18"/>
    <w:rsid w:val="00DE5C55"/>
    <w:rsid w:val="00DE6607"/>
    <w:rsid w:val="00DE6D65"/>
    <w:rsid w:val="00DE6E66"/>
    <w:rsid w:val="00DE70A8"/>
    <w:rsid w:val="00DE7290"/>
    <w:rsid w:val="00DF0353"/>
    <w:rsid w:val="00DF09F1"/>
    <w:rsid w:val="00DF1149"/>
    <w:rsid w:val="00DF126F"/>
    <w:rsid w:val="00DF12CE"/>
    <w:rsid w:val="00DF13A0"/>
    <w:rsid w:val="00DF1576"/>
    <w:rsid w:val="00DF1619"/>
    <w:rsid w:val="00DF246E"/>
    <w:rsid w:val="00DF25A8"/>
    <w:rsid w:val="00DF2AAE"/>
    <w:rsid w:val="00DF39A2"/>
    <w:rsid w:val="00DF4253"/>
    <w:rsid w:val="00DF44BF"/>
    <w:rsid w:val="00DF53E0"/>
    <w:rsid w:val="00DF554B"/>
    <w:rsid w:val="00DF566D"/>
    <w:rsid w:val="00DF62B2"/>
    <w:rsid w:val="00DF6309"/>
    <w:rsid w:val="00DF6382"/>
    <w:rsid w:val="00DF6B06"/>
    <w:rsid w:val="00DF73FA"/>
    <w:rsid w:val="00DF7647"/>
    <w:rsid w:val="00E00539"/>
    <w:rsid w:val="00E00D4B"/>
    <w:rsid w:val="00E00D4D"/>
    <w:rsid w:val="00E00F67"/>
    <w:rsid w:val="00E014DF"/>
    <w:rsid w:val="00E0234D"/>
    <w:rsid w:val="00E02F85"/>
    <w:rsid w:val="00E043D4"/>
    <w:rsid w:val="00E046D1"/>
    <w:rsid w:val="00E04D1C"/>
    <w:rsid w:val="00E04FEA"/>
    <w:rsid w:val="00E056D1"/>
    <w:rsid w:val="00E07268"/>
    <w:rsid w:val="00E1025A"/>
    <w:rsid w:val="00E11FE6"/>
    <w:rsid w:val="00E13008"/>
    <w:rsid w:val="00E1336D"/>
    <w:rsid w:val="00E1391D"/>
    <w:rsid w:val="00E14600"/>
    <w:rsid w:val="00E1502E"/>
    <w:rsid w:val="00E156D7"/>
    <w:rsid w:val="00E16CE2"/>
    <w:rsid w:val="00E173FF"/>
    <w:rsid w:val="00E17BA6"/>
    <w:rsid w:val="00E20848"/>
    <w:rsid w:val="00E20BB4"/>
    <w:rsid w:val="00E2130E"/>
    <w:rsid w:val="00E2159F"/>
    <w:rsid w:val="00E21E47"/>
    <w:rsid w:val="00E22A2E"/>
    <w:rsid w:val="00E22B30"/>
    <w:rsid w:val="00E238F0"/>
    <w:rsid w:val="00E23C65"/>
    <w:rsid w:val="00E24BCB"/>
    <w:rsid w:val="00E2682F"/>
    <w:rsid w:val="00E26FF9"/>
    <w:rsid w:val="00E27955"/>
    <w:rsid w:val="00E27A4C"/>
    <w:rsid w:val="00E27ECF"/>
    <w:rsid w:val="00E303E6"/>
    <w:rsid w:val="00E311F1"/>
    <w:rsid w:val="00E31647"/>
    <w:rsid w:val="00E31840"/>
    <w:rsid w:val="00E31C3D"/>
    <w:rsid w:val="00E32383"/>
    <w:rsid w:val="00E33355"/>
    <w:rsid w:val="00E33536"/>
    <w:rsid w:val="00E336ED"/>
    <w:rsid w:val="00E33A9E"/>
    <w:rsid w:val="00E34062"/>
    <w:rsid w:val="00E351DB"/>
    <w:rsid w:val="00E353C2"/>
    <w:rsid w:val="00E35608"/>
    <w:rsid w:val="00E357BA"/>
    <w:rsid w:val="00E35A20"/>
    <w:rsid w:val="00E35E2A"/>
    <w:rsid w:val="00E36543"/>
    <w:rsid w:val="00E36865"/>
    <w:rsid w:val="00E37097"/>
    <w:rsid w:val="00E378D5"/>
    <w:rsid w:val="00E37E6F"/>
    <w:rsid w:val="00E409F3"/>
    <w:rsid w:val="00E40BF9"/>
    <w:rsid w:val="00E41200"/>
    <w:rsid w:val="00E41475"/>
    <w:rsid w:val="00E42B29"/>
    <w:rsid w:val="00E44BFD"/>
    <w:rsid w:val="00E45E04"/>
    <w:rsid w:val="00E47808"/>
    <w:rsid w:val="00E5051F"/>
    <w:rsid w:val="00E52219"/>
    <w:rsid w:val="00E52E1B"/>
    <w:rsid w:val="00E53EA4"/>
    <w:rsid w:val="00E5410A"/>
    <w:rsid w:val="00E543BD"/>
    <w:rsid w:val="00E54754"/>
    <w:rsid w:val="00E54A29"/>
    <w:rsid w:val="00E54BB6"/>
    <w:rsid w:val="00E558C1"/>
    <w:rsid w:val="00E564BF"/>
    <w:rsid w:val="00E56B63"/>
    <w:rsid w:val="00E56E93"/>
    <w:rsid w:val="00E56F1A"/>
    <w:rsid w:val="00E57557"/>
    <w:rsid w:val="00E57E64"/>
    <w:rsid w:val="00E600B9"/>
    <w:rsid w:val="00E60E1F"/>
    <w:rsid w:val="00E62772"/>
    <w:rsid w:val="00E6294C"/>
    <w:rsid w:val="00E62EEF"/>
    <w:rsid w:val="00E632FC"/>
    <w:rsid w:val="00E63FA4"/>
    <w:rsid w:val="00E64706"/>
    <w:rsid w:val="00E648C4"/>
    <w:rsid w:val="00E64E39"/>
    <w:rsid w:val="00E64FC4"/>
    <w:rsid w:val="00E651BE"/>
    <w:rsid w:val="00E65874"/>
    <w:rsid w:val="00E673E5"/>
    <w:rsid w:val="00E67CA1"/>
    <w:rsid w:val="00E718CC"/>
    <w:rsid w:val="00E71B12"/>
    <w:rsid w:val="00E71FCE"/>
    <w:rsid w:val="00E7262A"/>
    <w:rsid w:val="00E7264A"/>
    <w:rsid w:val="00E734C1"/>
    <w:rsid w:val="00E74D78"/>
    <w:rsid w:val="00E74E9B"/>
    <w:rsid w:val="00E75132"/>
    <w:rsid w:val="00E76E9D"/>
    <w:rsid w:val="00E80FA5"/>
    <w:rsid w:val="00E816CC"/>
    <w:rsid w:val="00E81C66"/>
    <w:rsid w:val="00E823D9"/>
    <w:rsid w:val="00E825E7"/>
    <w:rsid w:val="00E83F3B"/>
    <w:rsid w:val="00E847CA"/>
    <w:rsid w:val="00E8497F"/>
    <w:rsid w:val="00E84E4A"/>
    <w:rsid w:val="00E852BE"/>
    <w:rsid w:val="00E85EC6"/>
    <w:rsid w:val="00E86E6E"/>
    <w:rsid w:val="00E87194"/>
    <w:rsid w:val="00E87881"/>
    <w:rsid w:val="00E903DE"/>
    <w:rsid w:val="00E90A99"/>
    <w:rsid w:val="00E90FD2"/>
    <w:rsid w:val="00E91B72"/>
    <w:rsid w:val="00E91BE4"/>
    <w:rsid w:val="00E91E7B"/>
    <w:rsid w:val="00E9210A"/>
    <w:rsid w:val="00E92733"/>
    <w:rsid w:val="00E929EF"/>
    <w:rsid w:val="00E92BE3"/>
    <w:rsid w:val="00E93B90"/>
    <w:rsid w:val="00E94525"/>
    <w:rsid w:val="00E94836"/>
    <w:rsid w:val="00E95E11"/>
    <w:rsid w:val="00E963A6"/>
    <w:rsid w:val="00E966A8"/>
    <w:rsid w:val="00E97862"/>
    <w:rsid w:val="00E97C37"/>
    <w:rsid w:val="00E97C51"/>
    <w:rsid w:val="00E97E65"/>
    <w:rsid w:val="00EA2FB7"/>
    <w:rsid w:val="00EA3130"/>
    <w:rsid w:val="00EA350D"/>
    <w:rsid w:val="00EA47DA"/>
    <w:rsid w:val="00EA4E6E"/>
    <w:rsid w:val="00EA5109"/>
    <w:rsid w:val="00EA5605"/>
    <w:rsid w:val="00EA5744"/>
    <w:rsid w:val="00EA5FFA"/>
    <w:rsid w:val="00EA6304"/>
    <w:rsid w:val="00EA6A6A"/>
    <w:rsid w:val="00EA6D74"/>
    <w:rsid w:val="00EA6F13"/>
    <w:rsid w:val="00EA777F"/>
    <w:rsid w:val="00EA780A"/>
    <w:rsid w:val="00EB0540"/>
    <w:rsid w:val="00EB09F2"/>
    <w:rsid w:val="00EB0A88"/>
    <w:rsid w:val="00EB1270"/>
    <w:rsid w:val="00EB2234"/>
    <w:rsid w:val="00EB26F2"/>
    <w:rsid w:val="00EB2FC9"/>
    <w:rsid w:val="00EB4039"/>
    <w:rsid w:val="00EB417A"/>
    <w:rsid w:val="00EB505F"/>
    <w:rsid w:val="00EB51BA"/>
    <w:rsid w:val="00EB5676"/>
    <w:rsid w:val="00EB57E1"/>
    <w:rsid w:val="00EB59C9"/>
    <w:rsid w:val="00EB5A4A"/>
    <w:rsid w:val="00EB5F14"/>
    <w:rsid w:val="00EB6083"/>
    <w:rsid w:val="00EB672E"/>
    <w:rsid w:val="00EB6773"/>
    <w:rsid w:val="00EB7048"/>
    <w:rsid w:val="00EB726C"/>
    <w:rsid w:val="00EB73D3"/>
    <w:rsid w:val="00EB7452"/>
    <w:rsid w:val="00EB7D5A"/>
    <w:rsid w:val="00EB7D8F"/>
    <w:rsid w:val="00EC0276"/>
    <w:rsid w:val="00EC0363"/>
    <w:rsid w:val="00EC066B"/>
    <w:rsid w:val="00EC101C"/>
    <w:rsid w:val="00EC1317"/>
    <w:rsid w:val="00EC2C47"/>
    <w:rsid w:val="00EC31EB"/>
    <w:rsid w:val="00EC36FF"/>
    <w:rsid w:val="00EC3A5B"/>
    <w:rsid w:val="00EC3C10"/>
    <w:rsid w:val="00EC40FD"/>
    <w:rsid w:val="00EC42EF"/>
    <w:rsid w:val="00EC45E6"/>
    <w:rsid w:val="00EC4A67"/>
    <w:rsid w:val="00EC4ABF"/>
    <w:rsid w:val="00EC5C29"/>
    <w:rsid w:val="00EC6056"/>
    <w:rsid w:val="00EC6632"/>
    <w:rsid w:val="00EC66C7"/>
    <w:rsid w:val="00EC7F92"/>
    <w:rsid w:val="00ED0D12"/>
    <w:rsid w:val="00ED1016"/>
    <w:rsid w:val="00ED198C"/>
    <w:rsid w:val="00ED1EB0"/>
    <w:rsid w:val="00ED1F25"/>
    <w:rsid w:val="00ED25FB"/>
    <w:rsid w:val="00ED3AFE"/>
    <w:rsid w:val="00ED4076"/>
    <w:rsid w:val="00ED450F"/>
    <w:rsid w:val="00ED497B"/>
    <w:rsid w:val="00ED5579"/>
    <w:rsid w:val="00ED5D84"/>
    <w:rsid w:val="00ED6723"/>
    <w:rsid w:val="00ED76A4"/>
    <w:rsid w:val="00ED79FA"/>
    <w:rsid w:val="00EE05F3"/>
    <w:rsid w:val="00EE0687"/>
    <w:rsid w:val="00EE09F6"/>
    <w:rsid w:val="00EE0D89"/>
    <w:rsid w:val="00EE0F7A"/>
    <w:rsid w:val="00EE11D2"/>
    <w:rsid w:val="00EE2278"/>
    <w:rsid w:val="00EE3161"/>
    <w:rsid w:val="00EE3389"/>
    <w:rsid w:val="00EE36F3"/>
    <w:rsid w:val="00EE445F"/>
    <w:rsid w:val="00EE57B8"/>
    <w:rsid w:val="00EE5A1E"/>
    <w:rsid w:val="00EE5B89"/>
    <w:rsid w:val="00EE5DE6"/>
    <w:rsid w:val="00EE6BD0"/>
    <w:rsid w:val="00EF0BAD"/>
    <w:rsid w:val="00EF0D71"/>
    <w:rsid w:val="00EF10FF"/>
    <w:rsid w:val="00EF1143"/>
    <w:rsid w:val="00EF26B5"/>
    <w:rsid w:val="00EF2F7D"/>
    <w:rsid w:val="00EF31D1"/>
    <w:rsid w:val="00EF335D"/>
    <w:rsid w:val="00EF5C26"/>
    <w:rsid w:val="00EF5C94"/>
    <w:rsid w:val="00EF6247"/>
    <w:rsid w:val="00EF77FE"/>
    <w:rsid w:val="00EF77FF"/>
    <w:rsid w:val="00EF7FB2"/>
    <w:rsid w:val="00F00104"/>
    <w:rsid w:val="00F005F8"/>
    <w:rsid w:val="00F00A2B"/>
    <w:rsid w:val="00F01AA7"/>
    <w:rsid w:val="00F028A7"/>
    <w:rsid w:val="00F029E9"/>
    <w:rsid w:val="00F02C20"/>
    <w:rsid w:val="00F03431"/>
    <w:rsid w:val="00F03587"/>
    <w:rsid w:val="00F0480C"/>
    <w:rsid w:val="00F04C43"/>
    <w:rsid w:val="00F04E99"/>
    <w:rsid w:val="00F05474"/>
    <w:rsid w:val="00F05635"/>
    <w:rsid w:val="00F06454"/>
    <w:rsid w:val="00F06B50"/>
    <w:rsid w:val="00F06F4E"/>
    <w:rsid w:val="00F07128"/>
    <w:rsid w:val="00F078C9"/>
    <w:rsid w:val="00F079E2"/>
    <w:rsid w:val="00F10157"/>
    <w:rsid w:val="00F105CA"/>
    <w:rsid w:val="00F10CCA"/>
    <w:rsid w:val="00F11271"/>
    <w:rsid w:val="00F12244"/>
    <w:rsid w:val="00F12667"/>
    <w:rsid w:val="00F12CFA"/>
    <w:rsid w:val="00F12EF8"/>
    <w:rsid w:val="00F12F0D"/>
    <w:rsid w:val="00F12FD8"/>
    <w:rsid w:val="00F13B17"/>
    <w:rsid w:val="00F13C6F"/>
    <w:rsid w:val="00F13F16"/>
    <w:rsid w:val="00F142B2"/>
    <w:rsid w:val="00F146E9"/>
    <w:rsid w:val="00F14DFB"/>
    <w:rsid w:val="00F1505A"/>
    <w:rsid w:val="00F15CAD"/>
    <w:rsid w:val="00F1674F"/>
    <w:rsid w:val="00F17034"/>
    <w:rsid w:val="00F20F16"/>
    <w:rsid w:val="00F2103C"/>
    <w:rsid w:val="00F21732"/>
    <w:rsid w:val="00F232A4"/>
    <w:rsid w:val="00F2331D"/>
    <w:rsid w:val="00F23367"/>
    <w:rsid w:val="00F23CA9"/>
    <w:rsid w:val="00F23E6B"/>
    <w:rsid w:val="00F2403D"/>
    <w:rsid w:val="00F24916"/>
    <w:rsid w:val="00F252EE"/>
    <w:rsid w:val="00F2536F"/>
    <w:rsid w:val="00F25C2B"/>
    <w:rsid w:val="00F25E87"/>
    <w:rsid w:val="00F25EB5"/>
    <w:rsid w:val="00F25FD9"/>
    <w:rsid w:val="00F26D53"/>
    <w:rsid w:val="00F26E00"/>
    <w:rsid w:val="00F27032"/>
    <w:rsid w:val="00F2731C"/>
    <w:rsid w:val="00F27494"/>
    <w:rsid w:val="00F27EE7"/>
    <w:rsid w:val="00F30363"/>
    <w:rsid w:val="00F30947"/>
    <w:rsid w:val="00F31294"/>
    <w:rsid w:val="00F3136D"/>
    <w:rsid w:val="00F31B58"/>
    <w:rsid w:val="00F31C77"/>
    <w:rsid w:val="00F3239F"/>
    <w:rsid w:val="00F32D9A"/>
    <w:rsid w:val="00F336CC"/>
    <w:rsid w:val="00F33A65"/>
    <w:rsid w:val="00F34059"/>
    <w:rsid w:val="00F34211"/>
    <w:rsid w:val="00F351CF"/>
    <w:rsid w:val="00F3560E"/>
    <w:rsid w:val="00F35828"/>
    <w:rsid w:val="00F35E76"/>
    <w:rsid w:val="00F36590"/>
    <w:rsid w:val="00F374AA"/>
    <w:rsid w:val="00F3753C"/>
    <w:rsid w:val="00F37B1E"/>
    <w:rsid w:val="00F403BC"/>
    <w:rsid w:val="00F41214"/>
    <w:rsid w:val="00F425F2"/>
    <w:rsid w:val="00F44038"/>
    <w:rsid w:val="00F44A7B"/>
    <w:rsid w:val="00F45161"/>
    <w:rsid w:val="00F4545E"/>
    <w:rsid w:val="00F46AB2"/>
    <w:rsid w:val="00F50630"/>
    <w:rsid w:val="00F50E80"/>
    <w:rsid w:val="00F50F40"/>
    <w:rsid w:val="00F5151F"/>
    <w:rsid w:val="00F515E9"/>
    <w:rsid w:val="00F51E25"/>
    <w:rsid w:val="00F527DA"/>
    <w:rsid w:val="00F53016"/>
    <w:rsid w:val="00F5378C"/>
    <w:rsid w:val="00F537F6"/>
    <w:rsid w:val="00F54934"/>
    <w:rsid w:val="00F55DD9"/>
    <w:rsid w:val="00F55F89"/>
    <w:rsid w:val="00F564BF"/>
    <w:rsid w:val="00F57093"/>
    <w:rsid w:val="00F577EF"/>
    <w:rsid w:val="00F6015B"/>
    <w:rsid w:val="00F60307"/>
    <w:rsid w:val="00F611A8"/>
    <w:rsid w:val="00F612A9"/>
    <w:rsid w:val="00F62799"/>
    <w:rsid w:val="00F62CE4"/>
    <w:rsid w:val="00F63ED3"/>
    <w:rsid w:val="00F6550D"/>
    <w:rsid w:val="00F65B93"/>
    <w:rsid w:val="00F65BEC"/>
    <w:rsid w:val="00F661C5"/>
    <w:rsid w:val="00F664AA"/>
    <w:rsid w:val="00F66EA0"/>
    <w:rsid w:val="00F672C0"/>
    <w:rsid w:val="00F70375"/>
    <w:rsid w:val="00F7111C"/>
    <w:rsid w:val="00F71BC3"/>
    <w:rsid w:val="00F72039"/>
    <w:rsid w:val="00F725DA"/>
    <w:rsid w:val="00F72D14"/>
    <w:rsid w:val="00F72D46"/>
    <w:rsid w:val="00F72F60"/>
    <w:rsid w:val="00F7388F"/>
    <w:rsid w:val="00F739DD"/>
    <w:rsid w:val="00F73FB6"/>
    <w:rsid w:val="00F75321"/>
    <w:rsid w:val="00F757B7"/>
    <w:rsid w:val="00F75B77"/>
    <w:rsid w:val="00F76129"/>
    <w:rsid w:val="00F761C4"/>
    <w:rsid w:val="00F76681"/>
    <w:rsid w:val="00F7707A"/>
    <w:rsid w:val="00F7755E"/>
    <w:rsid w:val="00F779B0"/>
    <w:rsid w:val="00F77ACA"/>
    <w:rsid w:val="00F80710"/>
    <w:rsid w:val="00F81044"/>
    <w:rsid w:val="00F86C69"/>
    <w:rsid w:val="00F87FB1"/>
    <w:rsid w:val="00F9179A"/>
    <w:rsid w:val="00F91ED4"/>
    <w:rsid w:val="00F93D04"/>
    <w:rsid w:val="00F94503"/>
    <w:rsid w:val="00F94BBA"/>
    <w:rsid w:val="00F94E4F"/>
    <w:rsid w:val="00F95830"/>
    <w:rsid w:val="00F975C5"/>
    <w:rsid w:val="00F97925"/>
    <w:rsid w:val="00F979E4"/>
    <w:rsid w:val="00F97C68"/>
    <w:rsid w:val="00F97C79"/>
    <w:rsid w:val="00FA1900"/>
    <w:rsid w:val="00FA23CC"/>
    <w:rsid w:val="00FA38D2"/>
    <w:rsid w:val="00FA3961"/>
    <w:rsid w:val="00FA3BA0"/>
    <w:rsid w:val="00FA4B23"/>
    <w:rsid w:val="00FA55B0"/>
    <w:rsid w:val="00FA5878"/>
    <w:rsid w:val="00FA5D1B"/>
    <w:rsid w:val="00FA5FE1"/>
    <w:rsid w:val="00FA65E9"/>
    <w:rsid w:val="00FA7238"/>
    <w:rsid w:val="00FA7749"/>
    <w:rsid w:val="00FA7971"/>
    <w:rsid w:val="00FA7CA7"/>
    <w:rsid w:val="00FA7ED2"/>
    <w:rsid w:val="00FB0EC8"/>
    <w:rsid w:val="00FB13E5"/>
    <w:rsid w:val="00FB1FC8"/>
    <w:rsid w:val="00FB2F8E"/>
    <w:rsid w:val="00FB3077"/>
    <w:rsid w:val="00FB4D03"/>
    <w:rsid w:val="00FB5816"/>
    <w:rsid w:val="00FB5B47"/>
    <w:rsid w:val="00FB6A12"/>
    <w:rsid w:val="00FB7047"/>
    <w:rsid w:val="00FB71BA"/>
    <w:rsid w:val="00FC027B"/>
    <w:rsid w:val="00FC27B9"/>
    <w:rsid w:val="00FC28BB"/>
    <w:rsid w:val="00FC2ED0"/>
    <w:rsid w:val="00FC2F5E"/>
    <w:rsid w:val="00FC44E0"/>
    <w:rsid w:val="00FC48BE"/>
    <w:rsid w:val="00FC4918"/>
    <w:rsid w:val="00FC4E67"/>
    <w:rsid w:val="00FC54D8"/>
    <w:rsid w:val="00FC5C84"/>
    <w:rsid w:val="00FC5F6F"/>
    <w:rsid w:val="00FC70E4"/>
    <w:rsid w:val="00FC7273"/>
    <w:rsid w:val="00FC763D"/>
    <w:rsid w:val="00FC7747"/>
    <w:rsid w:val="00FD001B"/>
    <w:rsid w:val="00FD070F"/>
    <w:rsid w:val="00FD097D"/>
    <w:rsid w:val="00FD199A"/>
    <w:rsid w:val="00FD1F7D"/>
    <w:rsid w:val="00FD2E97"/>
    <w:rsid w:val="00FD307E"/>
    <w:rsid w:val="00FD30D3"/>
    <w:rsid w:val="00FD3CF5"/>
    <w:rsid w:val="00FD47E7"/>
    <w:rsid w:val="00FD48B4"/>
    <w:rsid w:val="00FD50B9"/>
    <w:rsid w:val="00FD545F"/>
    <w:rsid w:val="00FD5855"/>
    <w:rsid w:val="00FD5ADB"/>
    <w:rsid w:val="00FD6973"/>
    <w:rsid w:val="00FD697C"/>
    <w:rsid w:val="00FD69B6"/>
    <w:rsid w:val="00FD6AF5"/>
    <w:rsid w:val="00FD7C37"/>
    <w:rsid w:val="00FE01E8"/>
    <w:rsid w:val="00FE041C"/>
    <w:rsid w:val="00FE0516"/>
    <w:rsid w:val="00FE06E0"/>
    <w:rsid w:val="00FE0A20"/>
    <w:rsid w:val="00FE15F0"/>
    <w:rsid w:val="00FE171B"/>
    <w:rsid w:val="00FE2A0D"/>
    <w:rsid w:val="00FE2B26"/>
    <w:rsid w:val="00FE3211"/>
    <w:rsid w:val="00FE325F"/>
    <w:rsid w:val="00FE3498"/>
    <w:rsid w:val="00FE3D6B"/>
    <w:rsid w:val="00FE50F8"/>
    <w:rsid w:val="00FE5100"/>
    <w:rsid w:val="00FE59A7"/>
    <w:rsid w:val="00FE5C6C"/>
    <w:rsid w:val="00FE5C84"/>
    <w:rsid w:val="00FE681D"/>
    <w:rsid w:val="00FE6B4A"/>
    <w:rsid w:val="00FE6D21"/>
    <w:rsid w:val="00FE6E08"/>
    <w:rsid w:val="00FE72BC"/>
    <w:rsid w:val="00FE73FA"/>
    <w:rsid w:val="00FF00A1"/>
    <w:rsid w:val="00FF107D"/>
    <w:rsid w:val="00FF1B67"/>
    <w:rsid w:val="00FF202C"/>
    <w:rsid w:val="00FF3B0C"/>
    <w:rsid w:val="00FF3CC4"/>
    <w:rsid w:val="00FF4ED6"/>
    <w:rsid w:val="00FF5F45"/>
    <w:rsid w:val="00FF62B4"/>
    <w:rsid w:val="00FF6674"/>
    <w:rsid w:val="00FF73D4"/>
    <w:rsid w:val="00FF759F"/>
    <w:rsid w:val="00FF76C7"/>
    <w:rsid w:val="00FF77EC"/>
    <w:rsid w:val="00FF793D"/>
    <w:rsid w:val="00FF7A70"/>
    <w:rsid w:val="00FF7B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2F536"/>
  <w15:docId w15:val="{26D3C27B-2569-4880-A164-AF72C052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46"/>
    <w:rPr>
      <w:rFonts w:ascii="Calibri" w:eastAsia="Calibri" w:hAnsi="Calibri" w:cs="Arial"/>
      <w:lang w:val="en-MY"/>
    </w:rPr>
  </w:style>
  <w:style w:type="paragraph" w:styleId="Heading1">
    <w:name w:val="heading 1"/>
    <w:basedOn w:val="Normal"/>
    <w:next w:val="Normal"/>
    <w:link w:val="Heading1Char"/>
    <w:uiPriority w:val="9"/>
    <w:qFormat/>
    <w:rsid w:val="00AB12AF"/>
    <w:pPr>
      <w:keepNext/>
      <w:keepLines/>
      <w:spacing w:after="120"/>
      <w:jc w:val="center"/>
      <w:outlineLvl w:val="0"/>
    </w:pPr>
    <w:rPr>
      <w:rFonts w:ascii="Palatino Linotype" w:eastAsiaTheme="majorEastAsia" w:hAnsi="Palatino Linotype" w:cstheme="majorBidi"/>
      <w:b/>
      <w:bCs/>
      <w:sz w:val="28"/>
      <w:szCs w:val="28"/>
      <w:lang w:val="en-GB"/>
    </w:rPr>
  </w:style>
  <w:style w:type="paragraph" w:styleId="Heading2">
    <w:name w:val="heading 2"/>
    <w:basedOn w:val="Normal"/>
    <w:next w:val="Normal"/>
    <w:link w:val="Heading2Char"/>
    <w:uiPriority w:val="9"/>
    <w:unhideWhenUsed/>
    <w:qFormat/>
    <w:rsid w:val="00617A46"/>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2AF"/>
    <w:rPr>
      <w:rFonts w:ascii="Palatino Linotype" w:eastAsiaTheme="majorEastAsia" w:hAnsi="Palatino Linotype" w:cstheme="majorBidi"/>
      <w:b/>
      <w:bCs/>
      <w:sz w:val="28"/>
      <w:szCs w:val="28"/>
      <w:lang w:val="en-GB"/>
    </w:rPr>
  </w:style>
  <w:style w:type="character" w:customStyle="1" w:styleId="Heading2Char">
    <w:name w:val="Heading 2 Char"/>
    <w:basedOn w:val="DefaultParagraphFont"/>
    <w:link w:val="Heading2"/>
    <w:uiPriority w:val="9"/>
    <w:rsid w:val="00617A4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qFormat/>
    <w:rsid w:val="004F59C7"/>
    <w:pPr>
      <w:tabs>
        <w:tab w:val="right" w:leader="dot" w:pos="9017"/>
      </w:tabs>
      <w:spacing w:after="100"/>
    </w:pPr>
    <w:rPr>
      <w:rFonts w:ascii="Palatino Linotype" w:eastAsiaTheme="minorEastAsia" w:hAnsi="Palatino Linotype" w:cstheme="minorBidi"/>
      <w:noProof/>
      <w:lang w:val="en-US"/>
    </w:rPr>
  </w:style>
  <w:style w:type="character" w:styleId="Hyperlink">
    <w:name w:val="Hyperlink"/>
    <w:basedOn w:val="DefaultParagraphFont"/>
    <w:uiPriority w:val="99"/>
    <w:unhideWhenUsed/>
    <w:rsid w:val="00617A46"/>
    <w:rPr>
      <w:color w:val="0000FF" w:themeColor="hyperlink"/>
      <w:u w:val="single"/>
    </w:rPr>
  </w:style>
  <w:style w:type="paragraph" w:styleId="TOCHeading">
    <w:name w:val="TOC Heading"/>
    <w:basedOn w:val="Heading1"/>
    <w:next w:val="Normal"/>
    <w:uiPriority w:val="39"/>
    <w:unhideWhenUsed/>
    <w:qFormat/>
    <w:rsid w:val="00617A46"/>
    <w:pPr>
      <w:outlineLvl w:val="9"/>
    </w:pPr>
    <w:rPr>
      <w:lang w:val="en-US" w:eastAsia="ja-JP"/>
    </w:rPr>
  </w:style>
  <w:style w:type="paragraph" w:styleId="TOC2">
    <w:name w:val="toc 2"/>
    <w:basedOn w:val="Normal"/>
    <w:next w:val="Normal"/>
    <w:autoRedefine/>
    <w:uiPriority w:val="39"/>
    <w:unhideWhenUsed/>
    <w:qFormat/>
    <w:rsid w:val="008F4F11"/>
    <w:pPr>
      <w:tabs>
        <w:tab w:val="left" w:pos="660"/>
        <w:tab w:val="right" w:leader="dot" w:pos="9017"/>
      </w:tabs>
      <w:spacing w:after="100"/>
      <w:ind w:left="630" w:hanging="410"/>
    </w:pPr>
    <w:rPr>
      <w:rFonts w:ascii="Palatino Linotype" w:eastAsia="Times New Roman" w:hAnsi="Palatino Linotype" w:cs="Times New Roman"/>
      <w:noProof/>
      <w:lang w:val="en-GB"/>
    </w:rPr>
  </w:style>
  <w:style w:type="paragraph" w:styleId="BalloonText">
    <w:name w:val="Balloon Text"/>
    <w:basedOn w:val="Normal"/>
    <w:link w:val="BalloonTextChar"/>
    <w:uiPriority w:val="99"/>
    <w:semiHidden/>
    <w:unhideWhenUsed/>
    <w:rsid w:val="00617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A46"/>
    <w:rPr>
      <w:rFonts w:ascii="Tahoma" w:eastAsia="Calibri" w:hAnsi="Tahoma" w:cs="Tahoma"/>
      <w:sz w:val="16"/>
      <w:szCs w:val="16"/>
      <w:lang w:val="en-MY"/>
    </w:rPr>
  </w:style>
  <w:style w:type="paragraph" w:styleId="ListParagraph">
    <w:name w:val="List Paragraph"/>
    <w:basedOn w:val="Normal"/>
    <w:link w:val="ListParagraphChar"/>
    <w:uiPriority w:val="34"/>
    <w:qFormat/>
    <w:rsid w:val="0078559D"/>
    <w:pPr>
      <w:ind w:left="720"/>
      <w:contextualSpacing/>
    </w:pPr>
  </w:style>
  <w:style w:type="character" w:customStyle="1" w:styleId="ListParagraphChar">
    <w:name w:val="List Paragraph Char"/>
    <w:basedOn w:val="DefaultParagraphFont"/>
    <w:link w:val="ListParagraph"/>
    <w:uiPriority w:val="34"/>
    <w:rsid w:val="0078559D"/>
    <w:rPr>
      <w:rFonts w:ascii="Calibri" w:eastAsia="Calibri" w:hAnsi="Calibri" w:cs="Arial"/>
      <w:lang w:val="en-MY"/>
    </w:rPr>
  </w:style>
  <w:style w:type="paragraph" w:styleId="FootnoteText">
    <w:name w:val="footnote text"/>
    <w:basedOn w:val="Normal"/>
    <w:link w:val="FootnoteTextChar"/>
    <w:uiPriority w:val="99"/>
    <w:semiHidden/>
    <w:unhideWhenUsed/>
    <w:rsid w:val="00BF0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F5F"/>
    <w:rPr>
      <w:rFonts w:ascii="Calibri" w:eastAsia="Calibri" w:hAnsi="Calibri" w:cs="Arial"/>
      <w:sz w:val="20"/>
      <w:szCs w:val="20"/>
      <w:lang w:val="en-MY"/>
    </w:rPr>
  </w:style>
  <w:style w:type="character" w:styleId="FootnoteReference">
    <w:name w:val="footnote reference"/>
    <w:basedOn w:val="DefaultParagraphFont"/>
    <w:uiPriority w:val="99"/>
    <w:semiHidden/>
    <w:unhideWhenUsed/>
    <w:rsid w:val="00BF0F5F"/>
    <w:rPr>
      <w:vertAlign w:val="superscript"/>
    </w:rPr>
  </w:style>
  <w:style w:type="paragraph" w:styleId="BodyText2">
    <w:name w:val="Body Text 2"/>
    <w:basedOn w:val="Normal"/>
    <w:link w:val="BodyText2Char"/>
    <w:uiPriority w:val="99"/>
    <w:unhideWhenUsed/>
    <w:rsid w:val="0017611B"/>
    <w:pPr>
      <w:spacing w:after="120" w:line="480" w:lineRule="auto"/>
    </w:pPr>
  </w:style>
  <w:style w:type="character" w:customStyle="1" w:styleId="BodyText2Char">
    <w:name w:val="Body Text 2 Char"/>
    <w:basedOn w:val="DefaultParagraphFont"/>
    <w:link w:val="BodyText2"/>
    <w:uiPriority w:val="99"/>
    <w:rsid w:val="0017611B"/>
    <w:rPr>
      <w:rFonts w:ascii="Calibri" w:eastAsia="Calibri" w:hAnsi="Calibri" w:cs="Arial"/>
      <w:lang w:val="en-MY"/>
    </w:rPr>
  </w:style>
  <w:style w:type="paragraph" w:customStyle="1" w:styleId="Default">
    <w:name w:val="Default"/>
    <w:rsid w:val="005606E1"/>
    <w:pPr>
      <w:autoSpaceDE w:val="0"/>
      <w:autoSpaceDN w:val="0"/>
      <w:adjustRightInd w:val="0"/>
      <w:spacing w:after="0" w:line="240" w:lineRule="auto"/>
    </w:pPr>
    <w:rPr>
      <w:rFonts w:ascii="Palatino Linotype" w:hAnsi="Palatino Linotype" w:cs="Palatino Linotype"/>
      <w:color w:val="000000"/>
      <w:sz w:val="24"/>
      <w:szCs w:val="24"/>
    </w:rPr>
  </w:style>
  <w:style w:type="character" w:styleId="CommentReference">
    <w:name w:val="annotation reference"/>
    <w:basedOn w:val="DefaultParagraphFont"/>
    <w:uiPriority w:val="99"/>
    <w:semiHidden/>
    <w:unhideWhenUsed/>
    <w:rsid w:val="00C554BC"/>
    <w:rPr>
      <w:sz w:val="16"/>
      <w:szCs w:val="16"/>
    </w:rPr>
  </w:style>
  <w:style w:type="paragraph" w:styleId="CommentText">
    <w:name w:val="annotation text"/>
    <w:basedOn w:val="Normal"/>
    <w:link w:val="CommentTextChar"/>
    <w:uiPriority w:val="99"/>
    <w:unhideWhenUsed/>
    <w:rsid w:val="00C554BC"/>
    <w:pPr>
      <w:spacing w:line="240" w:lineRule="auto"/>
    </w:pPr>
    <w:rPr>
      <w:sz w:val="20"/>
      <w:szCs w:val="20"/>
    </w:rPr>
  </w:style>
  <w:style w:type="character" w:customStyle="1" w:styleId="CommentTextChar">
    <w:name w:val="Comment Text Char"/>
    <w:basedOn w:val="DefaultParagraphFont"/>
    <w:link w:val="CommentText"/>
    <w:uiPriority w:val="99"/>
    <w:rsid w:val="00C554BC"/>
    <w:rPr>
      <w:rFonts w:ascii="Calibri" w:eastAsia="Calibri" w:hAnsi="Calibri" w:cs="Arial"/>
      <w:sz w:val="20"/>
      <w:szCs w:val="20"/>
      <w:lang w:val="en-MY"/>
    </w:rPr>
  </w:style>
  <w:style w:type="paragraph" w:styleId="CommentSubject">
    <w:name w:val="annotation subject"/>
    <w:basedOn w:val="CommentText"/>
    <w:next w:val="CommentText"/>
    <w:link w:val="CommentSubjectChar"/>
    <w:uiPriority w:val="99"/>
    <w:semiHidden/>
    <w:unhideWhenUsed/>
    <w:rsid w:val="00C554BC"/>
    <w:rPr>
      <w:b/>
      <w:bCs/>
    </w:rPr>
  </w:style>
  <w:style w:type="character" w:customStyle="1" w:styleId="CommentSubjectChar">
    <w:name w:val="Comment Subject Char"/>
    <w:basedOn w:val="CommentTextChar"/>
    <w:link w:val="CommentSubject"/>
    <w:uiPriority w:val="99"/>
    <w:semiHidden/>
    <w:rsid w:val="00C554BC"/>
    <w:rPr>
      <w:rFonts w:ascii="Calibri" w:eastAsia="Calibri" w:hAnsi="Calibri" w:cs="Arial"/>
      <w:b/>
      <w:bCs/>
      <w:sz w:val="20"/>
      <w:szCs w:val="20"/>
      <w:lang w:val="en-MY"/>
    </w:rPr>
  </w:style>
  <w:style w:type="paragraph" w:styleId="Header">
    <w:name w:val="header"/>
    <w:basedOn w:val="Normal"/>
    <w:link w:val="HeaderChar"/>
    <w:uiPriority w:val="99"/>
    <w:unhideWhenUsed/>
    <w:rsid w:val="00A67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05"/>
    <w:rPr>
      <w:rFonts w:ascii="Calibri" w:eastAsia="Calibri" w:hAnsi="Calibri" w:cs="Arial"/>
      <w:lang w:val="en-MY"/>
    </w:rPr>
  </w:style>
  <w:style w:type="paragraph" w:styleId="Footer">
    <w:name w:val="footer"/>
    <w:basedOn w:val="Normal"/>
    <w:link w:val="FooterChar"/>
    <w:uiPriority w:val="99"/>
    <w:unhideWhenUsed/>
    <w:rsid w:val="00A67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05"/>
    <w:rPr>
      <w:rFonts w:ascii="Calibri" w:eastAsia="Calibri" w:hAnsi="Calibri" w:cs="Arial"/>
      <w:lang w:val="en-MY"/>
    </w:rPr>
  </w:style>
  <w:style w:type="table" w:styleId="TableGrid">
    <w:name w:val="Table Grid"/>
    <w:basedOn w:val="TableNormal"/>
    <w:uiPriority w:val="39"/>
    <w:rsid w:val="00AA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938A1"/>
    <w:pPr>
      <w:spacing w:after="100"/>
      <w:ind w:left="440"/>
    </w:pPr>
    <w:rPr>
      <w:rFonts w:asciiTheme="minorHAnsi" w:eastAsiaTheme="minorEastAsia" w:hAnsiTheme="minorHAnsi" w:cstheme="minorBidi"/>
      <w:lang w:val="en-US"/>
    </w:rPr>
  </w:style>
  <w:style w:type="paragraph" w:styleId="TOC4">
    <w:name w:val="toc 4"/>
    <w:basedOn w:val="Normal"/>
    <w:next w:val="Normal"/>
    <w:autoRedefine/>
    <w:uiPriority w:val="39"/>
    <w:unhideWhenUsed/>
    <w:rsid w:val="007938A1"/>
    <w:pPr>
      <w:spacing w:after="100"/>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7938A1"/>
    <w:pPr>
      <w:spacing w:after="100"/>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7938A1"/>
    <w:pPr>
      <w:spacing w:after="100"/>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7938A1"/>
    <w:pPr>
      <w:spacing w:after="100"/>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7938A1"/>
    <w:pPr>
      <w:spacing w:after="100"/>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7938A1"/>
    <w:pPr>
      <w:spacing w:after="100"/>
      <w:ind w:left="1760"/>
    </w:pPr>
    <w:rPr>
      <w:rFonts w:asciiTheme="minorHAnsi" w:eastAsiaTheme="minorEastAsia" w:hAnsiTheme="minorHAnsi" w:cstheme="minorBidi"/>
      <w:lang w:val="en-US"/>
    </w:rPr>
  </w:style>
  <w:style w:type="paragraph" w:styleId="Revision">
    <w:name w:val="Revision"/>
    <w:hidden/>
    <w:uiPriority w:val="99"/>
    <w:semiHidden/>
    <w:rsid w:val="008802C0"/>
    <w:pPr>
      <w:spacing w:after="0" w:line="240" w:lineRule="auto"/>
    </w:pPr>
    <w:rPr>
      <w:rFonts w:ascii="Calibri" w:eastAsia="Calibri" w:hAnsi="Calibri" w:cs="Arial"/>
      <w:lang w:val="en-MY"/>
    </w:rPr>
  </w:style>
  <w:style w:type="table" w:customStyle="1" w:styleId="TableGrid2">
    <w:name w:val="Table Grid2"/>
    <w:basedOn w:val="TableNormal"/>
    <w:next w:val="TableGrid"/>
    <w:uiPriority w:val="39"/>
    <w:rsid w:val="0002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457EB"/>
    <w:pPr>
      <w:spacing w:after="0" w:line="240" w:lineRule="auto"/>
    </w:pPr>
    <w:rPr>
      <w:rFonts w:ascii="Times New Roman" w:eastAsia="Times New Roman" w:hAnsi="Times New Roman" w:cs="Times New Roman"/>
      <w:sz w:val="20"/>
      <w:szCs w:val="20"/>
      <w:lang w:val="en-AU"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C457EB"/>
    <w:pPr>
      <w:spacing w:after="0" w:line="240" w:lineRule="auto"/>
    </w:pPr>
    <w:rPr>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ord">
    <w:name w:val="word"/>
    <w:basedOn w:val="DefaultParagraphFont"/>
    <w:rsid w:val="00C457EB"/>
  </w:style>
  <w:style w:type="character" w:styleId="PlaceholderText">
    <w:name w:val="Placeholder Text"/>
    <w:basedOn w:val="DefaultParagraphFont"/>
    <w:uiPriority w:val="99"/>
    <w:semiHidden/>
    <w:rsid w:val="00C457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0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425F-36DA-400C-88E4-846285CE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24</Pages>
  <Words>6120</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Fathimath Amaanee Khalid</dc:creator>
  <cp:lastModifiedBy>Fathimath Amaanee Khalid</cp:lastModifiedBy>
  <cp:revision>53</cp:revision>
  <cp:lastPrinted>2020-09-16T11:09:00Z</cp:lastPrinted>
  <dcterms:created xsi:type="dcterms:W3CDTF">2023-03-26T08:26:00Z</dcterms:created>
  <dcterms:modified xsi:type="dcterms:W3CDTF">2023-06-04T11:43:00Z</dcterms:modified>
</cp:coreProperties>
</file>